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公文小标宋" w:hAnsi="方正公文小标宋" w:eastAsia="方正公文小标宋" w:cs="方正公文小标宋"/>
          <w:sz w:val="40"/>
          <w:szCs w:val="48"/>
        </w:rPr>
      </w:pPr>
      <w:r>
        <w:rPr>
          <w:rFonts w:hint="eastAsia" w:ascii="方正公文小标宋" w:hAnsi="方正公文小标宋" w:eastAsia="方正公文小标宋" w:cs="方正公文小标宋"/>
          <w:sz w:val="40"/>
          <w:szCs w:val="48"/>
        </w:rPr>
        <w:t>哈尔滨理工大学电气与电子工程学院</w:t>
      </w:r>
    </w:p>
    <w:p>
      <w:pPr>
        <w:jc w:val="center"/>
        <w:rPr>
          <w:rFonts w:ascii="方正公文小标宋" w:hAnsi="方正公文小标宋" w:eastAsia="方正公文小标宋" w:cs="方正公文小标宋"/>
          <w:sz w:val="40"/>
          <w:szCs w:val="48"/>
        </w:rPr>
      </w:pPr>
      <w:r>
        <w:rPr>
          <w:rFonts w:hint="eastAsia" w:ascii="方正公文小标宋" w:hAnsi="方正公文小标宋" w:eastAsia="方正公文小标宋" w:cs="方正公文小标宋"/>
          <w:sz w:val="40"/>
          <w:szCs w:val="48"/>
        </w:rPr>
        <w:t>研究生学业奖学金评审实施细则</w:t>
      </w:r>
    </w:p>
    <w:p>
      <w:pPr>
        <w:jc w:val="center"/>
        <w:rPr>
          <w:rFonts w:ascii="方正公文小标宋" w:hAnsi="方正公文小标宋" w:eastAsia="方正公文小标宋" w:cs="方正公文小标宋"/>
          <w:sz w:val="28"/>
          <w:szCs w:val="36"/>
        </w:rPr>
      </w:pPr>
      <w:r>
        <w:rPr>
          <w:rFonts w:hint="eastAsia" w:ascii="方正公文小标宋" w:hAnsi="方正公文小标宋" w:eastAsia="方正公文小标宋" w:cs="方正公文小标宋"/>
          <w:sz w:val="28"/>
          <w:szCs w:val="36"/>
        </w:rPr>
        <w:t>（2021年12月修订）</w:t>
      </w:r>
    </w:p>
    <w:p>
      <w:pPr>
        <w:numPr>
          <w:ilvl w:val="0"/>
          <w:numId w:val="1"/>
        </w:numPr>
        <w:jc w:val="center"/>
        <w:rPr>
          <w:rFonts w:ascii="黑体" w:hAnsi="黑体" w:eastAsia="黑体" w:cs="黑体"/>
          <w:sz w:val="28"/>
          <w:szCs w:val="36"/>
        </w:rPr>
      </w:pPr>
      <w:r>
        <w:rPr>
          <w:rFonts w:hint="eastAsia" w:ascii="黑体" w:hAnsi="黑体" w:eastAsia="黑体" w:cs="黑体"/>
          <w:sz w:val="28"/>
          <w:szCs w:val="36"/>
        </w:rPr>
        <w:t>总  则</w:t>
      </w:r>
    </w:p>
    <w:p>
      <w:pPr>
        <w:spacing w:line="560" w:lineRule="exact"/>
        <w:ind w:firstLine="630"/>
        <w:rPr>
          <w:rFonts w:ascii="仿宋" w:hAnsi="仿宋" w:eastAsia="仿宋" w:cs="仿宋"/>
          <w:color w:val="auto"/>
          <w:sz w:val="24"/>
          <w:szCs w:val="32"/>
          <w:highlight w:val="none"/>
        </w:rPr>
      </w:pPr>
      <w:r>
        <w:rPr>
          <w:rFonts w:hint="eastAsia" w:asciiTheme="minorEastAsia" w:hAnsiTheme="minorEastAsia" w:cstheme="minorEastAsia"/>
          <w:b/>
          <w:bCs/>
          <w:color w:val="auto"/>
          <w:sz w:val="24"/>
          <w:szCs w:val="32"/>
          <w:highlight w:val="none"/>
        </w:rPr>
        <w:t>第一条</w:t>
      </w:r>
      <w:r>
        <w:rPr>
          <w:rFonts w:hint="eastAsia" w:ascii="仿宋" w:hAnsi="仿宋" w:eastAsia="仿宋" w:cs="仿宋"/>
          <w:b/>
          <w:bCs/>
          <w:color w:val="auto"/>
          <w:sz w:val="24"/>
          <w:szCs w:val="32"/>
          <w:highlight w:val="none"/>
        </w:rPr>
        <w:t xml:space="preserve"> </w:t>
      </w:r>
      <w:r>
        <w:rPr>
          <w:rFonts w:hint="eastAsia" w:ascii="仿宋" w:hAnsi="仿宋" w:eastAsia="仿宋" w:cs="仿宋"/>
          <w:color w:val="auto"/>
          <w:sz w:val="24"/>
          <w:szCs w:val="32"/>
          <w:highlight w:val="none"/>
        </w:rPr>
        <w:t>为进一步做好我院研究生学业奖学金评定与管理工作，根据《哈尔滨理工大学研究生收费标准及资助资金管理实施办法》（校发〔2017〕92号）、《哈尔滨理工大学研究生收费标准及资助资金管理实施办法》（校发〔2021〕12号）及《哈尔滨理工大学研究生学业奖学金实施细则》（2021年3月19日）文件要求和精神，结合我院研究生教育的实际情况，特制订本细则。</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b/>
          <w:bCs/>
          <w:color w:val="auto"/>
          <w:sz w:val="24"/>
          <w:szCs w:val="32"/>
          <w:highlight w:val="none"/>
        </w:rPr>
        <w:t xml:space="preserve">第二条 </w:t>
      </w:r>
      <w:r>
        <w:rPr>
          <w:rFonts w:hint="eastAsia" w:ascii="仿宋" w:hAnsi="仿宋" w:eastAsia="仿宋" w:cs="仿宋"/>
          <w:color w:val="auto"/>
          <w:sz w:val="24"/>
          <w:szCs w:val="32"/>
          <w:highlight w:val="none"/>
        </w:rPr>
        <w:t>本实施细则适用对象为哈尔滨理工大学电气与电子工程学院在籍全日制研究生（非全日制、人事档案未到学校的非定向研究生及学籍状态为休学的研究生除外），包括2020级、2021级、2022级硕士研究生及2019级、2020级、2021级、2022级博士研究生。2018 级博士研究生学业奖学金依据校发【2017】92 号文件执行，自入学后每年评定一次，每名博士研究生参评学业奖学金次数不超过三次，自2022年起不再享有学业综合奖学金。2017级博士研究生学业奖学金仍执行校发【2016】96号文件精神，自2022年起不再享有学业综合奖学金。</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b/>
          <w:bCs/>
          <w:color w:val="auto"/>
          <w:sz w:val="24"/>
          <w:szCs w:val="32"/>
          <w:highlight w:val="none"/>
        </w:rPr>
        <w:t xml:space="preserve">第三条 </w:t>
      </w:r>
      <w:r>
        <w:rPr>
          <w:rFonts w:hint="eastAsia" w:ascii="仿宋" w:hAnsi="仿宋" w:eastAsia="仿宋" w:cs="仿宋"/>
          <w:color w:val="auto"/>
          <w:sz w:val="24"/>
          <w:szCs w:val="32"/>
          <w:highlight w:val="none"/>
        </w:rPr>
        <w:t>研究生学业奖学金每学年评审一次，坚持公平、公正、公开、择优的原则。</w:t>
      </w:r>
    </w:p>
    <w:p>
      <w:pPr>
        <w:numPr>
          <w:ilvl w:val="0"/>
          <w:numId w:val="1"/>
        </w:numPr>
        <w:jc w:val="center"/>
        <w:rPr>
          <w:rFonts w:ascii="黑体" w:hAnsi="黑体" w:eastAsia="黑体" w:cs="黑体"/>
          <w:color w:val="auto"/>
          <w:sz w:val="28"/>
          <w:szCs w:val="36"/>
          <w:highlight w:val="none"/>
        </w:rPr>
      </w:pPr>
      <w:r>
        <w:rPr>
          <w:rFonts w:hint="eastAsia" w:ascii="黑体" w:hAnsi="黑体" w:eastAsia="黑体" w:cs="黑体"/>
          <w:color w:val="auto"/>
          <w:sz w:val="28"/>
          <w:szCs w:val="36"/>
          <w:highlight w:val="none"/>
        </w:rPr>
        <w:t>学业奖学金基本申请条件</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b/>
          <w:bCs/>
          <w:color w:val="auto"/>
          <w:sz w:val="24"/>
          <w:szCs w:val="32"/>
          <w:highlight w:val="none"/>
        </w:rPr>
        <w:t>第四条</w:t>
      </w:r>
      <w:r>
        <w:rPr>
          <w:rFonts w:hint="eastAsia" w:ascii="仿宋" w:hAnsi="仿宋" w:eastAsia="仿宋" w:cs="仿宋"/>
          <w:color w:val="auto"/>
          <w:sz w:val="24"/>
          <w:szCs w:val="32"/>
          <w:highlight w:val="none"/>
        </w:rPr>
        <w:t xml:space="preserve"> 研究生学业奖学金基本申请条件</w:t>
      </w:r>
    </w:p>
    <w:p>
      <w:pPr>
        <w:spacing w:line="360" w:lineRule="auto"/>
        <w:ind w:firstLine="480" w:firstLineChars="200"/>
        <w:rPr>
          <w:rFonts w:ascii="仿宋" w:hAnsi="仿宋" w:eastAsia="仿宋" w:cs="仿宋"/>
          <w:color w:val="auto"/>
          <w:sz w:val="24"/>
          <w:highlight w:val="none"/>
        </w:rPr>
      </w:pPr>
      <w:r>
        <w:rPr>
          <w:rFonts w:ascii="仿宋" w:hAnsi="仿宋" w:eastAsia="仿宋" w:cs="仿宋"/>
          <w:color w:val="auto"/>
          <w:sz w:val="24"/>
          <w:highlight w:val="none"/>
        </w:rPr>
        <w:t>（一）具有中华人民共和国国籍；</w:t>
      </w:r>
    </w:p>
    <w:p>
      <w:pPr>
        <w:spacing w:line="360" w:lineRule="auto"/>
        <w:ind w:firstLine="480" w:firstLineChars="200"/>
        <w:rPr>
          <w:rFonts w:ascii="仿宋" w:hAnsi="仿宋" w:eastAsia="仿宋" w:cs="仿宋"/>
          <w:color w:val="auto"/>
          <w:sz w:val="24"/>
          <w:highlight w:val="none"/>
        </w:rPr>
      </w:pPr>
      <w:r>
        <w:rPr>
          <w:rFonts w:ascii="仿宋" w:hAnsi="仿宋" w:eastAsia="仿宋" w:cs="仿宋"/>
          <w:color w:val="auto"/>
          <w:sz w:val="24"/>
          <w:highlight w:val="none"/>
        </w:rPr>
        <w:t>（二）热爱社会主义祖国，拥护中国共产党的领导；</w:t>
      </w:r>
    </w:p>
    <w:p>
      <w:pPr>
        <w:spacing w:line="360" w:lineRule="auto"/>
        <w:ind w:firstLine="480" w:firstLineChars="200"/>
        <w:rPr>
          <w:rFonts w:ascii="仿宋" w:hAnsi="仿宋" w:eastAsia="仿宋" w:cs="仿宋"/>
          <w:color w:val="auto"/>
          <w:sz w:val="24"/>
          <w:highlight w:val="none"/>
        </w:rPr>
      </w:pPr>
      <w:r>
        <w:rPr>
          <w:rFonts w:ascii="仿宋" w:hAnsi="仿宋" w:eastAsia="仿宋" w:cs="仿宋"/>
          <w:color w:val="auto"/>
          <w:sz w:val="24"/>
          <w:highlight w:val="none"/>
        </w:rPr>
        <w:t>（三）遵守宪法和法律，遵守高等学校规章制度；</w:t>
      </w:r>
    </w:p>
    <w:p>
      <w:pPr>
        <w:spacing w:line="360" w:lineRule="auto"/>
        <w:ind w:firstLine="480" w:firstLineChars="200"/>
        <w:rPr>
          <w:rFonts w:ascii="仿宋" w:hAnsi="仿宋" w:eastAsia="仿宋" w:cs="仿宋"/>
          <w:color w:val="auto"/>
          <w:sz w:val="24"/>
          <w:highlight w:val="none"/>
        </w:rPr>
      </w:pPr>
      <w:r>
        <w:rPr>
          <w:rFonts w:ascii="仿宋" w:hAnsi="仿宋" w:eastAsia="仿宋" w:cs="仿宋"/>
          <w:color w:val="auto"/>
          <w:sz w:val="24"/>
          <w:highlight w:val="none"/>
        </w:rPr>
        <w:t>（四）诚实守信，品学兼优；</w:t>
      </w:r>
    </w:p>
    <w:p>
      <w:pPr>
        <w:spacing w:line="360" w:lineRule="auto"/>
        <w:ind w:firstLine="480" w:firstLineChars="200"/>
        <w:rPr>
          <w:rFonts w:ascii="仿宋" w:hAnsi="仿宋" w:eastAsia="仿宋" w:cs="仿宋"/>
          <w:color w:val="auto"/>
          <w:sz w:val="24"/>
          <w:highlight w:val="none"/>
        </w:rPr>
      </w:pPr>
      <w:r>
        <w:rPr>
          <w:rFonts w:ascii="仿宋" w:hAnsi="仿宋" w:eastAsia="仿宋" w:cs="仿宋"/>
          <w:color w:val="auto"/>
          <w:sz w:val="24"/>
          <w:highlight w:val="none"/>
        </w:rPr>
        <w:t>（五）积极参与科学研究和社会实践；</w:t>
      </w:r>
    </w:p>
    <w:p>
      <w:pPr>
        <w:spacing w:line="360" w:lineRule="auto"/>
        <w:ind w:firstLine="480" w:firstLineChars="200"/>
        <w:rPr>
          <w:rFonts w:ascii="仿宋" w:hAnsi="仿宋" w:eastAsia="仿宋" w:cs="仿宋"/>
          <w:color w:val="auto"/>
          <w:sz w:val="24"/>
          <w:highlight w:val="none"/>
        </w:rPr>
      </w:pPr>
      <w:r>
        <w:rPr>
          <w:rFonts w:ascii="仿宋" w:hAnsi="仿宋" w:eastAsia="仿宋" w:cs="仿宋"/>
          <w:color w:val="auto"/>
          <w:sz w:val="24"/>
          <w:highlight w:val="none"/>
        </w:rPr>
        <w:t>（六）人事档案转入学校。</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b/>
          <w:bCs/>
          <w:color w:val="auto"/>
          <w:sz w:val="24"/>
          <w:szCs w:val="32"/>
          <w:highlight w:val="none"/>
        </w:rPr>
        <w:t>第五条</w:t>
      </w:r>
      <w:r>
        <w:rPr>
          <w:rFonts w:hint="eastAsia" w:ascii="仿宋" w:hAnsi="仿宋" w:eastAsia="仿宋" w:cs="仿宋"/>
          <w:color w:val="auto"/>
          <w:sz w:val="24"/>
          <w:szCs w:val="32"/>
          <w:highlight w:val="none"/>
        </w:rPr>
        <w:t xml:space="preserve"> 在参评学年，研究生有下列情形之一，不具备参评资格：</w:t>
      </w:r>
    </w:p>
    <w:p>
      <w:pPr>
        <w:spacing w:line="560" w:lineRule="exact"/>
        <w:ind w:firstLine="630"/>
        <w:rPr>
          <w:rFonts w:ascii="仿宋" w:hAnsi="仿宋" w:eastAsia="仿宋" w:cs="仿宋"/>
          <w:color w:val="auto"/>
          <w:sz w:val="24"/>
          <w:highlight w:val="none"/>
        </w:rPr>
      </w:pPr>
      <w:r>
        <w:rPr>
          <w:rFonts w:hint="eastAsia" w:ascii="仿宋" w:hAnsi="仿宋" w:eastAsia="仿宋" w:cs="仿宋"/>
          <w:color w:val="auto"/>
          <w:sz w:val="24"/>
          <w:highlight w:val="none"/>
        </w:rPr>
        <w:t>（一）违反法律法规、校规校纪，受到纪律处分，在处分期内的；</w:t>
      </w:r>
    </w:p>
    <w:p>
      <w:pPr>
        <w:spacing w:line="560" w:lineRule="exact"/>
        <w:ind w:firstLine="630"/>
        <w:rPr>
          <w:rFonts w:ascii="仿宋" w:hAnsi="仿宋" w:eastAsia="仿宋" w:cs="仿宋"/>
          <w:color w:val="auto"/>
          <w:sz w:val="24"/>
          <w:highlight w:val="none"/>
        </w:rPr>
      </w:pPr>
      <w:r>
        <w:rPr>
          <w:rFonts w:hint="eastAsia" w:ascii="仿宋" w:hAnsi="仿宋" w:eastAsia="仿宋" w:cs="仿宋"/>
          <w:color w:val="auto"/>
          <w:sz w:val="24"/>
          <w:highlight w:val="none"/>
        </w:rPr>
        <w:t>（二）考试作弊的；</w:t>
      </w:r>
    </w:p>
    <w:p>
      <w:pPr>
        <w:spacing w:line="560" w:lineRule="exact"/>
        <w:ind w:firstLine="630"/>
        <w:rPr>
          <w:rFonts w:ascii="仿宋" w:hAnsi="仿宋" w:eastAsia="仿宋" w:cs="仿宋"/>
          <w:color w:val="auto"/>
          <w:sz w:val="24"/>
          <w:highlight w:val="none"/>
        </w:rPr>
      </w:pPr>
      <w:r>
        <w:rPr>
          <w:rFonts w:hint="eastAsia" w:ascii="仿宋" w:hAnsi="仿宋" w:eastAsia="仿宋" w:cs="仿宋"/>
          <w:color w:val="auto"/>
          <w:sz w:val="24"/>
          <w:highlight w:val="none"/>
        </w:rPr>
        <w:t>（三）抄袭剽窃等学术不端行为的；</w:t>
      </w:r>
    </w:p>
    <w:p>
      <w:pPr>
        <w:spacing w:line="560" w:lineRule="exact"/>
        <w:ind w:firstLine="630"/>
        <w:rPr>
          <w:rFonts w:ascii="仿宋" w:hAnsi="仿宋" w:eastAsia="仿宋" w:cs="仿宋"/>
          <w:color w:val="auto"/>
          <w:sz w:val="24"/>
          <w:highlight w:val="none"/>
        </w:rPr>
      </w:pPr>
      <w:r>
        <w:rPr>
          <w:rFonts w:hint="eastAsia" w:ascii="仿宋" w:hAnsi="仿宋" w:eastAsia="仿宋" w:cs="仿宋"/>
          <w:color w:val="auto"/>
          <w:sz w:val="24"/>
          <w:highlight w:val="none"/>
        </w:rPr>
        <w:t>（四）处于休学、保留学籍状态的；</w:t>
      </w:r>
    </w:p>
    <w:p>
      <w:pPr>
        <w:spacing w:line="560" w:lineRule="exact"/>
        <w:ind w:firstLine="630"/>
        <w:rPr>
          <w:rFonts w:ascii="仿宋" w:hAnsi="仿宋" w:eastAsia="仿宋" w:cs="仿宋"/>
          <w:color w:val="auto"/>
          <w:sz w:val="24"/>
          <w:highlight w:val="none"/>
        </w:rPr>
      </w:pPr>
      <w:r>
        <w:rPr>
          <w:rFonts w:hint="eastAsia" w:ascii="仿宋" w:hAnsi="仿宋" w:eastAsia="仿宋" w:cs="仿宋"/>
          <w:color w:val="auto"/>
          <w:sz w:val="24"/>
          <w:highlight w:val="none"/>
        </w:rPr>
        <w:t>（五）有课程考试不合格的；</w:t>
      </w:r>
    </w:p>
    <w:p>
      <w:pPr>
        <w:spacing w:line="560" w:lineRule="exact"/>
        <w:ind w:firstLine="630"/>
        <w:rPr>
          <w:rFonts w:ascii="仿宋" w:hAnsi="仿宋" w:eastAsia="仿宋" w:cs="仿宋"/>
          <w:color w:val="auto"/>
          <w:sz w:val="24"/>
          <w:highlight w:val="none"/>
        </w:rPr>
      </w:pPr>
      <w:r>
        <w:rPr>
          <w:rFonts w:hint="eastAsia" w:ascii="仿宋" w:hAnsi="仿宋" w:eastAsia="仿宋" w:cs="仿宋"/>
          <w:color w:val="auto"/>
          <w:sz w:val="24"/>
          <w:highlight w:val="none"/>
        </w:rPr>
        <w:t>（六）有轻渎学校规章制度，恶意侮辱学校、师长等行为的；</w:t>
      </w:r>
    </w:p>
    <w:p>
      <w:pPr>
        <w:spacing w:line="560" w:lineRule="exact"/>
        <w:ind w:firstLine="630"/>
        <w:rPr>
          <w:rFonts w:ascii="仿宋" w:hAnsi="仿宋" w:eastAsia="仿宋" w:cs="仿宋"/>
          <w:color w:val="auto"/>
          <w:sz w:val="24"/>
          <w:highlight w:val="none"/>
        </w:rPr>
      </w:pPr>
      <w:r>
        <w:rPr>
          <w:rFonts w:hint="eastAsia" w:ascii="仿宋" w:hAnsi="仿宋" w:eastAsia="仿宋" w:cs="仿宋"/>
          <w:color w:val="auto"/>
          <w:sz w:val="24"/>
          <w:highlight w:val="none"/>
        </w:rPr>
        <w:t>（七）超过2次无故不参加各级党团组织开展的相关学习及活动的；</w:t>
      </w:r>
    </w:p>
    <w:p>
      <w:pPr>
        <w:spacing w:line="560" w:lineRule="exact"/>
        <w:ind w:firstLine="630"/>
        <w:rPr>
          <w:rFonts w:ascii="仿宋" w:hAnsi="仿宋" w:eastAsia="仿宋" w:cs="仿宋"/>
          <w:color w:val="auto"/>
          <w:sz w:val="24"/>
          <w:highlight w:val="none"/>
        </w:rPr>
      </w:pPr>
      <w:r>
        <w:rPr>
          <w:rFonts w:hint="eastAsia" w:ascii="仿宋" w:hAnsi="仿宋" w:eastAsia="仿宋" w:cs="仿宋"/>
          <w:color w:val="auto"/>
          <w:sz w:val="24"/>
          <w:highlight w:val="none"/>
        </w:rPr>
        <w:t>（八）由于因私出国留学、疾病、创业等原因未在校学习的；</w:t>
      </w:r>
    </w:p>
    <w:p>
      <w:pPr>
        <w:spacing w:line="560" w:lineRule="exact"/>
        <w:ind w:firstLine="630"/>
        <w:rPr>
          <w:rFonts w:ascii="仿宋" w:hAnsi="仿宋" w:eastAsia="仿宋" w:cs="仿宋"/>
          <w:color w:val="auto"/>
          <w:sz w:val="24"/>
          <w:highlight w:val="none"/>
        </w:rPr>
      </w:pPr>
      <w:r>
        <w:rPr>
          <w:rFonts w:hint="eastAsia" w:ascii="仿宋" w:hAnsi="仿宋" w:eastAsia="仿宋" w:cs="仿宋"/>
          <w:color w:val="auto"/>
          <w:sz w:val="24"/>
          <w:highlight w:val="none"/>
        </w:rPr>
        <w:t>（六）研究生学业奖学金申请资料弄虚</w:t>
      </w:r>
      <w:r>
        <w:rPr>
          <w:rFonts w:hint="eastAsia" w:ascii="仿宋" w:hAnsi="仿宋" w:eastAsia="仿宋" w:cs="仿宋"/>
          <w:color w:val="auto"/>
          <w:sz w:val="24"/>
          <w:highlight w:val="none"/>
          <w:lang w:val="ru-RU"/>
        </w:rPr>
        <w:t>作</w:t>
      </w:r>
      <w:r>
        <w:rPr>
          <w:rFonts w:hint="eastAsia" w:ascii="仿宋" w:hAnsi="仿宋" w:eastAsia="仿宋" w:cs="仿宋"/>
          <w:color w:val="auto"/>
          <w:sz w:val="24"/>
          <w:highlight w:val="none"/>
        </w:rPr>
        <w:t>假的。</w:t>
      </w:r>
    </w:p>
    <w:p>
      <w:pPr>
        <w:spacing w:line="560" w:lineRule="exact"/>
        <w:jc w:val="center"/>
        <w:rPr>
          <w:rFonts w:ascii="黑体" w:hAnsi="黑体" w:eastAsia="黑体" w:cs="黑体"/>
          <w:color w:val="auto"/>
          <w:sz w:val="28"/>
          <w:szCs w:val="36"/>
          <w:highlight w:val="none"/>
        </w:rPr>
      </w:pPr>
      <w:r>
        <w:rPr>
          <w:rFonts w:hint="eastAsia" w:ascii="黑体" w:hAnsi="黑体" w:eastAsia="黑体" w:cs="黑体"/>
          <w:color w:val="auto"/>
          <w:sz w:val="28"/>
          <w:szCs w:val="36"/>
          <w:highlight w:val="none"/>
        </w:rPr>
        <w:t>第三章 学业奖学金等级比例、资助标准及名额分配</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b/>
          <w:bCs/>
          <w:color w:val="auto"/>
          <w:sz w:val="24"/>
          <w:szCs w:val="32"/>
          <w:highlight w:val="none"/>
        </w:rPr>
        <w:t>第六条</w:t>
      </w:r>
      <w:r>
        <w:rPr>
          <w:rFonts w:hint="eastAsia" w:ascii="仿宋" w:hAnsi="仿宋" w:eastAsia="仿宋" w:cs="仿宋"/>
          <w:color w:val="auto"/>
          <w:sz w:val="24"/>
          <w:szCs w:val="32"/>
          <w:highlight w:val="none"/>
        </w:rPr>
        <w:t xml:space="preserve"> 硕士研究生学业奖学金等级比例、资助标准</w:t>
      </w:r>
    </w:p>
    <w:tbl>
      <w:tblPr>
        <w:tblStyle w:val="5"/>
        <w:tblW w:w="92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70"/>
        <w:gridCol w:w="1850"/>
        <w:gridCol w:w="2260"/>
        <w:gridCol w:w="1630"/>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0" w:type="dxa"/>
            <w:vAlign w:val="center"/>
          </w:tcPr>
          <w:p>
            <w:pPr>
              <w:spacing w:line="400" w:lineRule="exact"/>
              <w:jc w:val="center"/>
              <w:rPr>
                <w:rFonts w:ascii="仿宋" w:hAnsi="仿宋" w:eastAsia="仿宋" w:cs="仿宋"/>
                <w:b/>
                <w:bCs/>
                <w:color w:val="auto"/>
                <w:sz w:val="24"/>
                <w:szCs w:val="32"/>
                <w:highlight w:val="none"/>
              </w:rPr>
            </w:pPr>
            <w:r>
              <w:rPr>
                <w:rFonts w:hint="eastAsia" w:ascii="仿宋" w:hAnsi="仿宋" w:eastAsia="仿宋" w:cs="仿宋"/>
                <w:b/>
                <w:bCs/>
                <w:color w:val="auto"/>
                <w:sz w:val="24"/>
                <w:szCs w:val="32"/>
                <w:highlight w:val="none"/>
              </w:rPr>
              <w:t>入学时间</w:t>
            </w:r>
          </w:p>
        </w:tc>
        <w:tc>
          <w:tcPr>
            <w:tcW w:w="1850" w:type="dxa"/>
            <w:vAlign w:val="center"/>
          </w:tcPr>
          <w:p>
            <w:pPr>
              <w:spacing w:line="400" w:lineRule="exact"/>
              <w:jc w:val="center"/>
              <w:rPr>
                <w:rFonts w:ascii="仿宋" w:hAnsi="仿宋" w:eastAsia="仿宋" w:cs="仿宋"/>
                <w:b/>
                <w:bCs/>
                <w:color w:val="auto"/>
                <w:sz w:val="24"/>
                <w:szCs w:val="32"/>
                <w:highlight w:val="none"/>
              </w:rPr>
            </w:pPr>
            <w:r>
              <w:rPr>
                <w:rFonts w:hint="eastAsia" w:ascii="仿宋" w:hAnsi="仿宋" w:eastAsia="仿宋" w:cs="仿宋"/>
                <w:b/>
                <w:bCs/>
                <w:color w:val="auto"/>
                <w:sz w:val="24"/>
                <w:szCs w:val="32"/>
                <w:highlight w:val="none"/>
              </w:rPr>
              <w:t>年级</w:t>
            </w:r>
          </w:p>
        </w:tc>
        <w:tc>
          <w:tcPr>
            <w:tcW w:w="2260" w:type="dxa"/>
            <w:vAlign w:val="center"/>
          </w:tcPr>
          <w:p>
            <w:pPr>
              <w:spacing w:line="400" w:lineRule="exact"/>
              <w:jc w:val="center"/>
              <w:rPr>
                <w:rFonts w:ascii="仿宋" w:hAnsi="仿宋" w:eastAsia="仿宋" w:cs="仿宋"/>
                <w:b/>
                <w:bCs/>
                <w:color w:val="auto"/>
                <w:sz w:val="24"/>
                <w:szCs w:val="32"/>
                <w:highlight w:val="none"/>
              </w:rPr>
            </w:pPr>
            <w:r>
              <w:rPr>
                <w:rFonts w:hint="eastAsia" w:ascii="仿宋" w:hAnsi="仿宋" w:eastAsia="仿宋" w:cs="仿宋"/>
                <w:b/>
                <w:bCs/>
                <w:color w:val="auto"/>
                <w:sz w:val="24"/>
                <w:szCs w:val="32"/>
                <w:highlight w:val="none"/>
              </w:rPr>
              <w:t>学业奖学金等级</w:t>
            </w:r>
          </w:p>
        </w:tc>
        <w:tc>
          <w:tcPr>
            <w:tcW w:w="1630" w:type="dxa"/>
            <w:vAlign w:val="center"/>
          </w:tcPr>
          <w:p>
            <w:pPr>
              <w:spacing w:line="400" w:lineRule="exact"/>
              <w:jc w:val="center"/>
              <w:rPr>
                <w:rFonts w:ascii="仿宋" w:hAnsi="仿宋" w:eastAsia="仿宋" w:cs="仿宋"/>
                <w:b/>
                <w:bCs/>
                <w:color w:val="auto"/>
                <w:sz w:val="24"/>
                <w:szCs w:val="32"/>
                <w:highlight w:val="none"/>
              </w:rPr>
            </w:pPr>
            <w:r>
              <w:rPr>
                <w:rFonts w:hint="eastAsia" w:ascii="仿宋" w:hAnsi="仿宋" w:eastAsia="仿宋" w:cs="仿宋"/>
                <w:b/>
                <w:bCs/>
                <w:color w:val="auto"/>
                <w:sz w:val="24"/>
                <w:szCs w:val="32"/>
                <w:highlight w:val="none"/>
              </w:rPr>
              <w:t>资助金额</w:t>
            </w:r>
          </w:p>
        </w:tc>
        <w:tc>
          <w:tcPr>
            <w:tcW w:w="1280" w:type="dxa"/>
            <w:vAlign w:val="center"/>
          </w:tcPr>
          <w:p>
            <w:pPr>
              <w:spacing w:line="400" w:lineRule="exact"/>
              <w:jc w:val="center"/>
              <w:rPr>
                <w:rFonts w:ascii="仿宋" w:hAnsi="仿宋" w:eastAsia="仿宋" w:cs="仿宋"/>
                <w:b/>
                <w:bCs/>
                <w:color w:val="auto"/>
                <w:sz w:val="24"/>
                <w:szCs w:val="32"/>
                <w:highlight w:val="none"/>
              </w:rPr>
            </w:pPr>
            <w:r>
              <w:rPr>
                <w:rFonts w:hint="eastAsia" w:ascii="仿宋" w:hAnsi="仿宋" w:eastAsia="仿宋" w:cs="仿宋"/>
                <w:b/>
                <w:bCs/>
                <w:color w:val="auto"/>
                <w:sz w:val="24"/>
                <w:szCs w:val="32"/>
                <w:highlight w:val="none"/>
              </w:rPr>
              <w:t>资助比例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0" w:type="dxa"/>
            <w:vMerge w:val="restart"/>
            <w:vAlign w:val="center"/>
          </w:tcPr>
          <w:p>
            <w:pPr>
              <w:spacing w:line="460" w:lineRule="exact"/>
              <w:jc w:val="center"/>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2021年及以后</w:t>
            </w:r>
          </w:p>
          <w:p>
            <w:pPr>
              <w:spacing w:line="280" w:lineRule="exact"/>
              <w:jc w:val="center"/>
              <w:rPr>
                <w:rFonts w:ascii="仿宋" w:hAnsi="仿宋" w:eastAsia="仿宋" w:cs="仿宋"/>
                <w:color w:val="auto"/>
                <w:sz w:val="24"/>
                <w:szCs w:val="32"/>
                <w:highlight w:val="none"/>
              </w:rPr>
            </w:pPr>
            <w:r>
              <w:rPr>
                <w:rFonts w:hint="eastAsia" w:ascii="仿宋" w:hAnsi="仿宋" w:eastAsia="仿宋" w:cs="仿宋"/>
                <w:color w:val="auto"/>
                <w:sz w:val="15"/>
                <w:szCs w:val="18"/>
                <w:highlight w:val="none"/>
              </w:rPr>
              <w:t>（2021级、2022级硕士研究生）</w:t>
            </w:r>
          </w:p>
        </w:tc>
        <w:tc>
          <w:tcPr>
            <w:tcW w:w="1850" w:type="dxa"/>
            <w:vMerge w:val="restart"/>
            <w:vAlign w:val="center"/>
          </w:tcPr>
          <w:p>
            <w:pPr>
              <w:spacing w:line="400" w:lineRule="exact"/>
              <w:jc w:val="center"/>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硕士一年级</w:t>
            </w:r>
          </w:p>
        </w:tc>
        <w:tc>
          <w:tcPr>
            <w:tcW w:w="2260" w:type="dxa"/>
            <w:vAlign w:val="center"/>
          </w:tcPr>
          <w:p>
            <w:pPr>
              <w:spacing w:line="400" w:lineRule="exact"/>
              <w:jc w:val="center"/>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一等奖学金</w:t>
            </w:r>
          </w:p>
        </w:tc>
        <w:tc>
          <w:tcPr>
            <w:tcW w:w="1630" w:type="dxa"/>
            <w:vAlign w:val="center"/>
          </w:tcPr>
          <w:p>
            <w:pPr>
              <w:spacing w:line="400" w:lineRule="exact"/>
              <w:jc w:val="center"/>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10000元</w:t>
            </w:r>
          </w:p>
        </w:tc>
        <w:tc>
          <w:tcPr>
            <w:tcW w:w="1280" w:type="dxa"/>
            <w:vAlign w:val="center"/>
          </w:tcPr>
          <w:p>
            <w:pPr>
              <w:spacing w:line="400" w:lineRule="exact"/>
              <w:jc w:val="center"/>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0" w:type="dxa"/>
            <w:vMerge w:val="continue"/>
            <w:vAlign w:val="center"/>
          </w:tcPr>
          <w:p>
            <w:pPr>
              <w:spacing w:line="460" w:lineRule="exact"/>
              <w:jc w:val="center"/>
              <w:rPr>
                <w:rFonts w:ascii="仿宋" w:hAnsi="仿宋" w:eastAsia="仿宋" w:cs="仿宋"/>
                <w:color w:val="auto"/>
                <w:sz w:val="24"/>
                <w:szCs w:val="32"/>
                <w:highlight w:val="none"/>
              </w:rPr>
            </w:pPr>
          </w:p>
        </w:tc>
        <w:tc>
          <w:tcPr>
            <w:tcW w:w="1850" w:type="dxa"/>
            <w:vMerge w:val="continue"/>
            <w:vAlign w:val="center"/>
          </w:tcPr>
          <w:p>
            <w:pPr>
              <w:spacing w:line="400" w:lineRule="exact"/>
              <w:jc w:val="center"/>
              <w:rPr>
                <w:rFonts w:ascii="仿宋" w:hAnsi="仿宋" w:eastAsia="仿宋" w:cs="仿宋"/>
                <w:color w:val="auto"/>
                <w:sz w:val="24"/>
                <w:szCs w:val="32"/>
                <w:highlight w:val="none"/>
              </w:rPr>
            </w:pPr>
          </w:p>
        </w:tc>
        <w:tc>
          <w:tcPr>
            <w:tcW w:w="2260" w:type="dxa"/>
            <w:vAlign w:val="center"/>
          </w:tcPr>
          <w:p>
            <w:pPr>
              <w:spacing w:line="400" w:lineRule="exact"/>
              <w:jc w:val="center"/>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二等奖学金</w:t>
            </w:r>
          </w:p>
        </w:tc>
        <w:tc>
          <w:tcPr>
            <w:tcW w:w="1630" w:type="dxa"/>
            <w:vAlign w:val="center"/>
          </w:tcPr>
          <w:p>
            <w:pPr>
              <w:spacing w:line="400" w:lineRule="exact"/>
              <w:jc w:val="center"/>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8000元</w:t>
            </w:r>
          </w:p>
        </w:tc>
        <w:tc>
          <w:tcPr>
            <w:tcW w:w="1280" w:type="dxa"/>
            <w:vAlign w:val="center"/>
          </w:tcPr>
          <w:p>
            <w:pPr>
              <w:spacing w:line="400" w:lineRule="exact"/>
              <w:jc w:val="center"/>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jc w:val="center"/>
        </w:trPr>
        <w:tc>
          <w:tcPr>
            <w:tcW w:w="2270" w:type="dxa"/>
            <w:vMerge w:val="continue"/>
            <w:vAlign w:val="center"/>
          </w:tcPr>
          <w:p>
            <w:pPr>
              <w:spacing w:line="460" w:lineRule="exact"/>
              <w:jc w:val="center"/>
              <w:rPr>
                <w:rFonts w:ascii="仿宋" w:hAnsi="仿宋" w:eastAsia="仿宋" w:cs="仿宋"/>
                <w:color w:val="auto"/>
                <w:sz w:val="24"/>
                <w:szCs w:val="32"/>
                <w:highlight w:val="none"/>
              </w:rPr>
            </w:pPr>
          </w:p>
        </w:tc>
        <w:tc>
          <w:tcPr>
            <w:tcW w:w="1850" w:type="dxa"/>
            <w:vAlign w:val="center"/>
          </w:tcPr>
          <w:p>
            <w:pPr>
              <w:spacing w:line="400" w:lineRule="exact"/>
              <w:jc w:val="center"/>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硕士二、三年级</w:t>
            </w:r>
          </w:p>
        </w:tc>
        <w:tc>
          <w:tcPr>
            <w:tcW w:w="2260" w:type="dxa"/>
            <w:vAlign w:val="center"/>
          </w:tcPr>
          <w:p>
            <w:pPr>
              <w:spacing w:line="400" w:lineRule="exact"/>
              <w:jc w:val="center"/>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奖学金</w:t>
            </w:r>
          </w:p>
        </w:tc>
        <w:tc>
          <w:tcPr>
            <w:tcW w:w="1630" w:type="dxa"/>
            <w:vAlign w:val="center"/>
          </w:tcPr>
          <w:p>
            <w:pPr>
              <w:spacing w:line="400" w:lineRule="exact"/>
              <w:jc w:val="center"/>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8000元</w:t>
            </w:r>
          </w:p>
        </w:tc>
        <w:tc>
          <w:tcPr>
            <w:tcW w:w="1280" w:type="dxa"/>
            <w:vAlign w:val="center"/>
          </w:tcPr>
          <w:p>
            <w:pPr>
              <w:spacing w:line="400" w:lineRule="exact"/>
              <w:jc w:val="center"/>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0" w:type="dxa"/>
            <w:vMerge w:val="restart"/>
            <w:vAlign w:val="center"/>
          </w:tcPr>
          <w:p>
            <w:pPr>
              <w:spacing w:line="460" w:lineRule="exact"/>
              <w:jc w:val="center"/>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2021年以前</w:t>
            </w:r>
          </w:p>
          <w:p>
            <w:pPr>
              <w:spacing w:line="460" w:lineRule="exact"/>
              <w:jc w:val="center"/>
              <w:rPr>
                <w:rFonts w:ascii="仿宋" w:hAnsi="仿宋" w:eastAsia="仿宋" w:cs="仿宋"/>
                <w:color w:val="auto"/>
                <w:sz w:val="24"/>
                <w:szCs w:val="32"/>
                <w:highlight w:val="none"/>
              </w:rPr>
            </w:pPr>
            <w:r>
              <w:rPr>
                <w:rFonts w:hint="eastAsia" w:ascii="仿宋" w:hAnsi="仿宋" w:eastAsia="仿宋" w:cs="仿宋"/>
                <w:color w:val="auto"/>
                <w:sz w:val="16"/>
                <w:szCs w:val="20"/>
                <w:highlight w:val="none"/>
              </w:rPr>
              <w:t>（2020级硕士研究生）</w:t>
            </w:r>
          </w:p>
        </w:tc>
        <w:tc>
          <w:tcPr>
            <w:tcW w:w="1850" w:type="dxa"/>
            <w:vMerge w:val="restart"/>
            <w:vAlign w:val="center"/>
          </w:tcPr>
          <w:p>
            <w:pPr>
              <w:spacing w:line="400" w:lineRule="exact"/>
              <w:jc w:val="center"/>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硕士二、三年级</w:t>
            </w:r>
          </w:p>
        </w:tc>
        <w:tc>
          <w:tcPr>
            <w:tcW w:w="2260" w:type="dxa"/>
            <w:vAlign w:val="center"/>
          </w:tcPr>
          <w:p>
            <w:pPr>
              <w:spacing w:line="400" w:lineRule="exact"/>
              <w:jc w:val="center"/>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一等奖学金</w:t>
            </w:r>
          </w:p>
        </w:tc>
        <w:tc>
          <w:tcPr>
            <w:tcW w:w="1630" w:type="dxa"/>
            <w:vAlign w:val="center"/>
          </w:tcPr>
          <w:p>
            <w:pPr>
              <w:spacing w:line="400" w:lineRule="exact"/>
              <w:jc w:val="center"/>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10000元</w:t>
            </w:r>
          </w:p>
        </w:tc>
        <w:tc>
          <w:tcPr>
            <w:tcW w:w="1280" w:type="dxa"/>
            <w:vAlign w:val="center"/>
          </w:tcPr>
          <w:p>
            <w:pPr>
              <w:spacing w:line="400" w:lineRule="exact"/>
              <w:jc w:val="center"/>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0" w:type="dxa"/>
            <w:vMerge w:val="continue"/>
            <w:vAlign w:val="center"/>
          </w:tcPr>
          <w:p>
            <w:pPr>
              <w:spacing w:line="460" w:lineRule="exact"/>
              <w:jc w:val="center"/>
              <w:rPr>
                <w:rFonts w:ascii="仿宋" w:hAnsi="仿宋" w:eastAsia="仿宋" w:cs="仿宋"/>
                <w:color w:val="auto"/>
                <w:sz w:val="24"/>
                <w:szCs w:val="32"/>
                <w:highlight w:val="none"/>
              </w:rPr>
            </w:pPr>
          </w:p>
        </w:tc>
        <w:tc>
          <w:tcPr>
            <w:tcW w:w="1850" w:type="dxa"/>
            <w:vMerge w:val="continue"/>
            <w:vAlign w:val="center"/>
          </w:tcPr>
          <w:p>
            <w:pPr>
              <w:spacing w:line="400" w:lineRule="exact"/>
              <w:jc w:val="center"/>
              <w:rPr>
                <w:rFonts w:ascii="仿宋" w:hAnsi="仿宋" w:eastAsia="仿宋" w:cs="仿宋"/>
                <w:color w:val="auto"/>
                <w:sz w:val="24"/>
                <w:szCs w:val="32"/>
                <w:highlight w:val="none"/>
              </w:rPr>
            </w:pPr>
          </w:p>
        </w:tc>
        <w:tc>
          <w:tcPr>
            <w:tcW w:w="2260" w:type="dxa"/>
            <w:vAlign w:val="center"/>
          </w:tcPr>
          <w:p>
            <w:pPr>
              <w:spacing w:line="400" w:lineRule="exact"/>
              <w:jc w:val="center"/>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二等奖学金</w:t>
            </w:r>
          </w:p>
        </w:tc>
        <w:tc>
          <w:tcPr>
            <w:tcW w:w="1630" w:type="dxa"/>
            <w:vAlign w:val="center"/>
          </w:tcPr>
          <w:p>
            <w:pPr>
              <w:spacing w:line="400" w:lineRule="exact"/>
              <w:jc w:val="center"/>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9000元</w:t>
            </w:r>
          </w:p>
        </w:tc>
        <w:tc>
          <w:tcPr>
            <w:tcW w:w="1280" w:type="dxa"/>
            <w:vAlign w:val="center"/>
          </w:tcPr>
          <w:p>
            <w:pPr>
              <w:spacing w:line="400" w:lineRule="exact"/>
              <w:jc w:val="center"/>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0" w:type="dxa"/>
            <w:vMerge w:val="continue"/>
            <w:vAlign w:val="center"/>
          </w:tcPr>
          <w:p>
            <w:pPr>
              <w:spacing w:line="460" w:lineRule="exact"/>
              <w:jc w:val="center"/>
              <w:rPr>
                <w:rFonts w:ascii="仿宋" w:hAnsi="仿宋" w:eastAsia="仿宋" w:cs="仿宋"/>
                <w:color w:val="auto"/>
                <w:sz w:val="24"/>
                <w:szCs w:val="32"/>
                <w:highlight w:val="none"/>
              </w:rPr>
            </w:pPr>
          </w:p>
        </w:tc>
        <w:tc>
          <w:tcPr>
            <w:tcW w:w="1850" w:type="dxa"/>
            <w:vMerge w:val="continue"/>
            <w:vAlign w:val="center"/>
          </w:tcPr>
          <w:p>
            <w:pPr>
              <w:spacing w:line="400" w:lineRule="exact"/>
              <w:jc w:val="center"/>
              <w:rPr>
                <w:rFonts w:ascii="仿宋" w:hAnsi="仿宋" w:eastAsia="仿宋" w:cs="仿宋"/>
                <w:color w:val="auto"/>
                <w:sz w:val="24"/>
                <w:szCs w:val="32"/>
                <w:highlight w:val="none"/>
              </w:rPr>
            </w:pPr>
          </w:p>
        </w:tc>
        <w:tc>
          <w:tcPr>
            <w:tcW w:w="2260" w:type="dxa"/>
            <w:vAlign w:val="center"/>
          </w:tcPr>
          <w:p>
            <w:pPr>
              <w:spacing w:line="400" w:lineRule="exact"/>
              <w:jc w:val="center"/>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三等奖学金</w:t>
            </w:r>
          </w:p>
        </w:tc>
        <w:tc>
          <w:tcPr>
            <w:tcW w:w="1630" w:type="dxa"/>
            <w:vAlign w:val="center"/>
          </w:tcPr>
          <w:p>
            <w:pPr>
              <w:spacing w:line="400" w:lineRule="exact"/>
              <w:jc w:val="center"/>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8000元</w:t>
            </w:r>
          </w:p>
        </w:tc>
        <w:tc>
          <w:tcPr>
            <w:tcW w:w="1280" w:type="dxa"/>
            <w:vAlign w:val="center"/>
          </w:tcPr>
          <w:p>
            <w:pPr>
              <w:spacing w:line="400" w:lineRule="exact"/>
              <w:jc w:val="center"/>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30%</w:t>
            </w:r>
          </w:p>
        </w:tc>
      </w:tr>
    </w:tbl>
    <w:p>
      <w:pPr>
        <w:spacing w:line="560" w:lineRule="exact"/>
        <w:ind w:firstLine="630"/>
        <w:rPr>
          <w:rFonts w:ascii="仿宋" w:hAnsi="仿宋" w:eastAsia="仿宋" w:cs="仿宋"/>
          <w:color w:val="auto"/>
          <w:sz w:val="24"/>
          <w:szCs w:val="32"/>
          <w:highlight w:val="none"/>
        </w:rPr>
      </w:pPr>
      <w:r>
        <w:rPr>
          <w:rFonts w:hint="eastAsia" w:ascii="仿宋" w:hAnsi="仿宋" w:eastAsia="仿宋" w:cs="仿宋"/>
          <w:b/>
          <w:bCs/>
          <w:color w:val="auto"/>
          <w:sz w:val="24"/>
          <w:szCs w:val="32"/>
          <w:highlight w:val="none"/>
        </w:rPr>
        <w:t>第七条</w:t>
      </w:r>
      <w:r>
        <w:rPr>
          <w:rFonts w:hint="eastAsia" w:ascii="仿宋" w:hAnsi="仿宋" w:eastAsia="仿宋" w:cs="仿宋"/>
          <w:color w:val="auto"/>
          <w:sz w:val="24"/>
          <w:szCs w:val="32"/>
          <w:highlight w:val="none"/>
        </w:rPr>
        <w:t xml:space="preserve"> 博士研究生学业奖学金等级比例、资助标准</w:t>
      </w:r>
    </w:p>
    <w:tbl>
      <w:tblPr>
        <w:tblStyle w:val="5"/>
        <w:tblW w:w="92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70"/>
        <w:gridCol w:w="1850"/>
        <w:gridCol w:w="2260"/>
        <w:gridCol w:w="1630"/>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0" w:type="dxa"/>
            <w:vAlign w:val="center"/>
          </w:tcPr>
          <w:p>
            <w:pPr>
              <w:spacing w:line="400" w:lineRule="exact"/>
              <w:jc w:val="center"/>
              <w:rPr>
                <w:rFonts w:ascii="仿宋" w:hAnsi="仿宋" w:eastAsia="仿宋" w:cs="仿宋"/>
                <w:b/>
                <w:bCs/>
                <w:color w:val="auto"/>
                <w:sz w:val="24"/>
                <w:szCs w:val="32"/>
                <w:highlight w:val="none"/>
              </w:rPr>
            </w:pPr>
            <w:r>
              <w:rPr>
                <w:rFonts w:hint="eastAsia" w:ascii="仿宋" w:hAnsi="仿宋" w:eastAsia="仿宋" w:cs="仿宋"/>
                <w:b/>
                <w:bCs/>
                <w:color w:val="auto"/>
                <w:sz w:val="24"/>
                <w:szCs w:val="32"/>
                <w:highlight w:val="none"/>
              </w:rPr>
              <w:t>入学时间</w:t>
            </w:r>
          </w:p>
        </w:tc>
        <w:tc>
          <w:tcPr>
            <w:tcW w:w="1850" w:type="dxa"/>
            <w:vAlign w:val="center"/>
          </w:tcPr>
          <w:p>
            <w:pPr>
              <w:spacing w:line="400" w:lineRule="exact"/>
              <w:jc w:val="center"/>
              <w:rPr>
                <w:rFonts w:ascii="仿宋" w:hAnsi="仿宋" w:eastAsia="仿宋" w:cs="仿宋"/>
                <w:b/>
                <w:bCs/>
                <w:color w:val="auto"/>
                <w:sz w:val="24"/>
                <w:szCs w:val="32"/>
                <w:highlight w:val="none"/>
              </w:rPr>
            </w:pPr>
            <w:r>
              <w:rPr>
                <w:rFonts w:hint="eastAsia" w:ascii="仿宋" w:hAnsi="仿宋" w:eastAsia="仿宋" w:cs="仿宋"/>
                <w:b/>
                <w:bCs/>
                <w:color w:val="auto"/>
                <w:sz w:val="24"/>
                <w:szCs w:val="32"/>
                <w:highlight w:val="none"/>
              </w:rPr>
              <w:t>年级</w:t>
            </w:r>
          </w:p>
        </w:tc>
        <w:tc>
          <w:tcPr>
            <w:tcW w:w="2260" w:type="dxa"/>
            <w:vAlign w:val="center"/>
          </w:tcPr>
          <w:p>
            <w:pPr>
              <w:spacing w:line="400" w:lineRule="exact"/>
              <w:jc w:val="center"/>
              <w:rPr>
                <w:rFonts w:ascii="仿宋" w:hAnsi="仿宋" w:eastAsia="仿宋" w:cs="仿宋"/>
                <w:b/>
                <w:bCs/>
                <w:color w:val="auto"/>
                <w:sz w:val="24"/>
                <w:szCs w:val="32"/>
                <w:highlight w:val="none"/>
              </w:rPr>
            </w:pPr>
            <w:r>
              <w:rPr>
                <w:rFonts w:hint="eastAsia" w:ascii="仿宋" w:hAnsi="仿宋" w:eastAsia="仿宋" w:cs="仿宋"/>
                <w:b/>
                <w:bCs/>
                <w:color w:val="auto"/>
                <w:sz w:val="24"/>
                <w:szCs w:val="32"/>
                <w:highlight w:val="none"/>
              </w:rPr>
              <w:t>学业奖学金等级</w:t>
            </w:r>
          </w:p>
        </w:tc>
        <w:tc>
          <w:tcPr>
            <w:tcW w:w="1630" w:type="dxa"/>
            <w:vAlign w:val="center"/>
          </w:tcPr>
          <w:p>
            <w:pPr>
              <w:spacing w:line="400" w:lineRule="exact"/>
              <w:jc w:val="center"/>
              <w:rPr>
                <w:rFonts w:ascii="仿宋" w:hAnsi="仿宋" w:eastAsia="仿宋" w:cs="仿宋"/>
                <w:b/>
                <w:bCs/>
                <w:color w:val="auto"/>
                <w:sz w:val="24"/>
                <w:szCs w:val="32"/>
                <w:highlight w:val="none"/>
              </w:rPr>
            </w:pPr>
            <w:r>
              <w:rPr>
                <w:rFonts w:hint="eastAsia" w:ascii="仿宋" w:hAnsi="仿宋" w:eastAsia="仿宋" w:cs="仿宋"/>
                <w:b/>
                <w:bCs/>
                <w:color w:val="auto"/>
                <w:sz w:val="24"/>
                <w:szCs w:val="32"/>
                <w:highlight w:val="none"/>
              </w:rPr>
              <w:t>资助金额</w:t>
            </w:r>
          </w:p>
        </w:tc>
        <w:tc>
          <w:tcPr>
            <w:tcW w:w="1280" w:type="dxa"/>
            <w:vAlign w:val="center"/>
          </w:tcPr>
          <w:p>
            <w:pPr>
              <w:spacing w:line="400" w:lineRule="exact"/>
              <w:jc w:val="center"/>
              <w:rPr>
                <w:rFonts w:ascii="仿宋" w:hAnsi="仿宋" w:eastAsia="仿宋" w:cs="仿宋"/>
                <w:b/>
                <w:bCs/>
                <w:color w:val="auto"/>
                <w:sz w:val="24"/>
                <w:szCs w:val="32"/>
                <w:highlight w:val="none"/>
              </w:rPr>
            </w:pPr>
            <w:r>
              <w:rPr>
                <w:rFonts w:hint="eastAsia" w:ascii="仿宋" w:hAnsi="仿宋" w:eastAsia="仿宋" w:cs="仿宋"/>
                <w:b/>
                <w:bCs/>
                <w:color w:val="auto"/>
                <w:sz w:val="24"/>
                <w:szCs w:val="32"/>
                <w:highlight w:val="none"/>
              </w:rPr>
              <w:t>资助比例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0" w:type="dxa"/>
            <w:vMerge w:val="restart"/>
            <w:vAlign w:val="center"/>
          </w:tcPr>
          <w:p>
            <w:pPr>
              <w:spacing w:line="460" w:lineRule="exact"/>
              <w:jc w:val="center"/>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2021年及以后</w:t>
            </w:r>
          </w:p>
          <w:p>
            <w:pPr>
              <w:spacing w:line="280" w:lineRule="exact"/>
              <w:jc w:val="center"/>
              <w:rPr>
                <w:rFonts w:ascii="仿宋" w:hAnsi="仿宋" w:eastAsia="仿宋" w:cs="仿宋"/>
                <w:color w:val="auto"/>
                <w:sz w:val="24"/>
                <w:szCs w:val="32"/>
                <w:highlight w:val="none"/>
              </w:rPr>
            </w:pPr>
            <w:r>
              <w:rPr>
                <w:rFonts w:hint="eastAsia" w:ascii="仿宋" w:hAnsi="仿宋" w:eastAsia="仿宋" w:cs="仿宋"/>
                <w:color w:val="auto"/>
                <w:sz w:val="15"/>
                <w:szCs w:val="18"/>
                <w:highlight w:val="none"/>
              </w:rPr>
              <w:t>（2021级、2022级博士研究生）</w:t>
            </w:r>
          </w:p>
        </w:tc>
        <w:tc>
          <w:tcPr>
            <w:tcW w:w="1850" w:type="dxa"/>
            <w:vAlign w:val="center"/>
          </w:tcPr>
          <w:p>
            <w:pPr>
              <w:spacing w:line="400" w:lineRule="exact"/>
              <w:jc w:val="center"/>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博士一年级</w:t>
            </w:r>
          </w:p>
        </w:tc>
        <w:tc>
          <w:tcPr>
            <w:tcW w:w="2260" w:type="dxa"/>
            <w:vAlign w:val="center"/>
          </w:tcPr>
          <w:p>
            <w:pPr>
              <w:spacing w:line="400" w:lineRule="exact"/>
              <w:jc w:val="center"/>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奖学金</w:t>
            </w:r>
          </w:p>
        </w:tc>
        <w:tc>
          <w:tcPr>
            <w:tcW w:w="1630" w:type="dxa"/>
            <w:vAlign w:val="center"/>
          </w:tcPr>
          <w:p>
            <w:pPr>
              <w:spacing w:line="400" w:lineRule="exact"/>
              <w:jc w:val="center"/>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10000元</w:t>
            </w:r>
          </w:p>
        </w:tc>
        <w:tc>
          <w:tcPr>
            <w:tcW w:w="1280" w:type="dxa"/>
            <w:vAlign w:val="center"/>
          </w:tcPr>
          <w:p>
            <w:pPr>
              <w:spacing w:line="400" w:lineRule="exact"/>
              <w:jc w:val="center"/>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0" w:type="dxa"/>
            <w:vMerge w:val="continue"/>
            <w:vAlign w:val="center"/>
          </w:tcPr>
          <w:p>
            <w:pPr>
              <w:spacing w:line="460" w:lineRule="exact"/>
              <w:jc w:val="center"/>
              <w:rPr>
                <w:rFonts w:ascii="仿宋" w:hAnsi="仿宋" w:eastAsia="仿宋" w:cs="仿宋"/>
                <w:color w:val="auto"/>
                <w:sz w:val="24"/>
                <w:szCs w:val="32"/>
                <w:highlight w:val="none"/>
              </w:rPr>
            </w:pPr>
          </w:p>
        </w:tc>
        <w:tc>
          <w:tcPr>
            <w:tcW w:w="1850" w:type="dxa"/>
            <w:vMerge w:val="restart"/>
            <w:vAlign w:val="center"/>
          </w:tcPr>
          <w:p>
            <w:pPr>
              <w:spacing w:line="400" w:lineRule="exact"/>
              <w:jc w:val="center"/>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博士二、三年级</w:t>
            </w:r>
          </w:p>
        </w:tc>
        <w:tc>
          <w:tcPr>
            <w:tcW w:w="2260" w:type="dxa"/>
            <w:vAlign w:val="center"/>
          </w:tcPr>
          <w:p>
            <w:pPr>
              <w:spacing w:line="400" w:lineRule="exact"/>
              <w:jc w:val="center"/>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一等奖学金</w:t>
            </w:r>
          </w:p>
        </w:tc>
        <w:tc>
          <w:tcPr>
            <w:tcW w:w="1630" w:type="dxa"/>
            <w:vAlign w:val="center"/>
          </w:tcPr>
          <w:p>
            <w:pPr>
              <w:spacing w:line="400" w:lineRule="exact"/>
              <w:jc w:val="center"/>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15000元</w:t>
            </w:r>
          </w:p>
        </w:tc>
        <w:tc>
          <w:tcPr>
            <w:tcW w:w="1280" w:type="dxa"/>
            <w:vAlign w:val="center"/>
          </w:tcPr>
          <w:p>
            <w:pPr>
              <w:spacing w:line="400" w:lineRule="exact"/>
              <w:jc w:val="center"/>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0" w:type="dxa"/>
            <w:vMerge w:val="continue"/>
            <w:vAlign w:val="center"/>
          </w:tcPr>
          <w:p>
            <w:pPr>
              <w:spacing w:line="460" w:lineRule="exact"/>
              <w:jc w:val="center"/>
              <w:rPr>
                <w:rFonts w:ascii="仿宋" w:hAnsi="仿宋" w:eastAsia="仿宋" w:cs="仿宋"/>
                <w:color w:val="auto"/>
                <w:sz w:val="24"/>
                <w:szCs w:val="32"/>
                <w:highlight w:val="none"/>
              </w:rPr>
            </w:pPr>
          </w:p>
        </w:tc>
        <w:tc>
          <w:tcPr>
            <w:tcW w:w="1850" w:type="dxa"/>
            <w:vMerge w:val="continue"/>
            <w:vAlign w:val="center"/>
          </w:tcPr>
          <w:p>
            <w:pPr>
              <w:spacing w:line="400" w:lineRule="exact"/>
              <w:jc w:val="center"/>
              <w:rPr>
                <w:rFonts w:ascii="仿宋" w:hAnsi="仿宋" w:eastAsia="仿宋" w:cs="仿宋"/>
                <w:color w:val="auto"/>
                <w:sz w:val="24"/>
                <w:szCs w:val="32"/>
                <w:highlight w:val="none"/>
              </w:rPr>
            </w:pPr>
          </w:p>
        </w:tc>
        <w:tc>
          <w:tcPr>
            <w:tcW w:w="2260" w:type="dxa"/>
            <w:vAlign w:val="center"/>
          </w:tcPr>
          <w:p>
            <w:pPr>
              <w:spacing w:line="400" w:lineRule="exact"/>
              <w:jc w:val="center"/>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二等奖学金</w:t>
            </w:r>
          </w:p>
        </w:tc>
        <w:tc>
          <w:tcPr>
            <w:tcW w:w="1630" w:type="dxa"/>
            <w:vAlign w:val="center"/>
          </w:tcPr>
          <w:p>
            <w:pPr>
              <w:spacing w:line="400" w:lineRule="exact"/>
              <w:jc w:val="center"/>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10000元</w:t>
            </w:r>
          </w:p>
        </w:tc>
        <w:tc>
          <w:tcPr>
            <w:tcW w:w="1280" w:type="dxa"/>
            <w:vAlign w:val="center"/>
          </w:tcPr>
          <w:p>
            <w:pPr>
              <w:spacing w:line="400" w:lineRule="exact"/>
              <w:jc w:val="center"/>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0" w:hRule="atLeast"/>
          <w:jc w:val="center"/>
        </w:trPr>
        <w:tc>
          <w:tcPr>
            <w:tcW w:w="2270" w:type="dxa"/>
            <w:vAlign w:val="center"/>
          </w:tcPr>
          <w:p>
            <w:pPr>
              <w:spacing w:line="460" w:lineRule="exact"/>
              <w:jc w:val="center"/>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2021年以前</w:t>
            </w:r>
          </w:p>
          <w:p>
            <w:pPr>
              <w:spacing w:line="460" w:lineRule="exact"/>
              <w:jc w:val="center"/>
              <w:rPr>
                <w:rFonts w:ascii="仿宋" w:hAnsi="仿宋" w:eastAsia="仿宋" w:cs="仿宋"/>
                <w:color w:val="auto"/>
                <w:sz w:val="24"/>
                <w:szCs w:val="32"/>
                <w:highlight w:val="none"/>
              </w:rPr>
            </w:pPr>
            <w:r>
              <w:rPr>
                <w:rFonts w:hint="eastAsia" w:ascii="仿宋" w:hAnsi="仿宋" w:eastAsia="仿宋" w:cs="仿宋"/>
                <w:color w:val="auto"/>
                <w:sz w:val="15"/>
                <w:szCs w:val="18"/>
                <w:highlight w:val="none"/>
              </w:rPr>
              <w:t>（2019级、2020级博士研究生）</w:t>
            </w:r>
          </w:p>
        </w:tc>
        <w:tc>
          <w:tcPr>
            <w:tcW w:w="1850" w:type="dxa"/>
            <w:vAlign w:val="center"/>
          </w:tcPr>
          <w:p>
            <w:pPr>
              <w:spacing w:line="400" w:lineRule="exact"/>
              <w:jc w:val="center"/>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博士一、二、</w:t>
            </w:r>
          </w:p>
          <w:p>
            <w:pPr>
              <w:spacing w:line="400" w:lineRule="exact"/>
              <w:jc w:val="center"/>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三年级</w:t>
            </w:r>
          </w:p>
        </w:tc>
        <w:tc>
          <w:tcPr>
            <w:tcW w:w="2260" w:type="dxa"/>
            <w:vAlign w:val="center"/>
          </w:tcPr>
          <w:p>
            <w:pPr>
              <w:spacing w:line="400" w:lineRule="exact"/>
              <w:jc w:val="center"/>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奖学金</w:t>
            </w:r>
          </w:p>
        </w:tc>
        <w:tc>
          <w:tcPr>
            <w:tcW w:w="1630" w:type="dxa"/>
            <w:vAlign w:val="center"/>
          </w:tcPr>
          <w:p>
            <w:pPr>
              <w:spacing w:line="400" w:lineRule="exact"/>
              <w:jc w:val="center"/>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10000元</w:t>
            </w:r>
          </w:p>
        </w:tc>
        <w:tc>
          <w:tcPr>
            <w:tcW w:w="1280" w:type="dxa"/>
            <w:vAlign w:val="center"/>
          </w:tcPr>
          <w:p>
            <w:pPr>
              <w:spacing w:line="400" w:lineRule="exact"/>
              <w:jc w:val="center"/>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100%</w:t>
            </w:r>
          </w:p>
        </w:tc>
      </w:tr>
    </w:tbl>
    <w:p>
      <w:pPr>
        <w:spacing w:line="560" w:lineRule="exact"/>
        <w:ind w:firstLine="630"/>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注：2021年以前入学的硕博研究生学业奖学金等级比例、资助标准以《哈尔滨理工大学研究生收费标准及资助资金管理实施办法》（校发〔2017〕92号）为准；2021年及以后的硕博研究生学业奖学金等级比例、资助标准以《哈尔滨理工大学研究生收费标准及资助资金管理实施办法》（校发〔2021〕12号）为准。</w:t>
      </w:r>
    </w:p>
    <w:p>
      <w:pPr>
        <w:spacing w:line="560" w:lineRule="exact"/>
        <w:ind w:firstLine="482" w:firstLineChars="200"/>
        <w:rPr>
          <w:rFonts w:ascii="仿宋" w:hAnsi="仿宋" w:eastAsia="仿宋" w:cs="仿宋"/>
          <w:color w:val="auto"/>
          <w:sz w:val="24"/>
          <w:szCs w:val="32"/>
          <w:highlight w:val="none"/>
        </w:rPr>
      </w:pPr>
      <w:r>
        <w:rPr>
          <w:rFonts w:hint="eastAsia" w:ascii="仿宋" w:hAnsi="仿宋" w:eastAsia="仿宋" w:cs="仿宋"/>
          <w:b/>
          <w:bCs/>
          <w:color w:val="auto"/>
          <w:sz w:val="24"/>
          <w:szCs w:val="32"/>
          <w:highlight w:val="none"/>
        </w:rPr>
        <w:t xml:space="preserve">第八条 </w:t>
      </w:r>
      <w:r>
        <w:rPr>
          <w:rFonts w:hint="eastAsia" w:ascii="仿宋" w:hAnsi="仿宋" w:eastAsia="仿宋" w:cs="仿宋"/>
          <w:color w:val="auto"/>
          <w:sz w:val="24"/>
          <w:szCs w:val="32"/>
          <w:highlight w:val="none"/>
        </w:rPr>
        <w:t>学业奖学金名额分配</w:t>
      </w:r>
    </w:p>
    <w:p>
      <w:pPr>
        <w:spacing w:line="560" w:lineRule="exact"/>
        <w:ind w:firstLine="480" w:firstLineChars="200"/>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一）硕士研究生学业奖学金名额分配：由学院研究生学业奖学金评审委员会依据学校下发给学院的各奖学金等级总名额数参考学院硕士研究生学科专业人数占比综合分配，最终名额分配情况以研究生学业奖学金评审委员会划定为准。</w:t>
      </w:r>
    </w:p>
    <w:p>
      <w:pPr>
        <w:spacing w:line="560" w:lineRule="exact"/>
        <w:ind w:firstLine="480" w:firstLineChars="200"/>
        <w:rPr>
          <w:rFonts w:ascii="黑体" w:hAnsi="黑体" w:eastAsia="黑体" w:cs="黑体"/>
          <w:color w:val="auto"/>
          <w:sz w:val="28"/>
          <w:szCs w:val="36"/>
          <w:highlight w:val="none"/>
        </w:rPr>
      </w:pPr>
      <w:r>
        <w:rPr>
          <w:rFonts w:hint="eastAsia" w:ascii="仿宋" w:hAnsi="仿宋" w:eastAsia="仿宋" w:cs="仿宋"/>
          <w:color w:val="auto"/>
          <w:sz w:val="24"/>
          <w:szCs w:val="32"/>
          <w:highlight w:val="none"/>
        </w:rPr>
        <w:t>（二）博士研究生学业奖学金名额分配：博士研究生按一级学科统一参评。</w:t>
      </w:r>
    </w:p>
    <w:p>
      <w:pPr>
        <w:spacing w:line="560" w:lineRule="exact"/>
        <w:jc w:val="center"/>
        <w:rPr>
          <w:rFonts w:ascii="仿宋" w:hAnsi="仿宋" w:eastAsia="仿宋" w:cs="仿宋"/>
          <w:color w:val="auto"/>
          <w:sz w:val="24"/>
          <w:highlight w:val="none"/>
        </w:rPr>
      </w:pPr>
      <w:r>
        <w:rPr>
          <w:rFonts w:hint="eastAsia" w:ascii="黑体" w:hAnsi="黑体" w:eastAsia="黑体" w:cs="黑体"/>
          <w:color w:val="auto"/>
          <w:sz w:val="28"/>
          <w:szCs w:val="36"/>
          <w:highlight w:val="none"/>
        </w:rPr>
        <w:t>第四章 学业奖学金评审机构及评审程序</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b/>
          <w:bCs/>
          <w:color w:val="auto"/>
          <w:sz w:val="24"/>
          <w:szCs w:val="32"/>
          <w:highlight w:val="none"/>
        </w:rPr>
        <w:t>第九条</w:t>
      </w:r>
      <w:r>
        <w:rPr>
          <w:rFonts w:hint="eastAsia" w:ascii="仿宋" w:hAnsi="仿宋" w:eastAsia="仿宋" w:cs="仿宋"/>
          <w:color w:val="auto"/>
          <w:sz w:val="24"/>
          <w:szCs w:val="32"/>
          <w:highlight w:val="none"/>
        </w:rPr>
        <w:t xml:space="preserve"> 学院成立研究生学业奖学金评审委员会，由主要领导任主任委员，研究生导师、行政管理人员、学生代表任委员，不少于7人且为单数，负责学院研究生学业奖学金的申请组织、初步评审等工作。</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b/>
          <w:bCs/>
          <w:color w:val="auto"/>
          <w:sz w:val="24"/>
          <w:szCs w:val="32"/>
          <w:highlight w:val="none"/>
        </w:rPr>
        <w:t xml:space="preserve">第十条 </w:t>
      </w:r>
      <w:r>
        <w:rPr>
          <w:rFonts w:hint="eastAsia" w:ascii="仿宋" w:hAnsi="仿宋" w:eastAsia="仿宋" w:cs="仿宋"/>
          <w:color w:val="auto"/>
          <w:sz w:val="24"/>
          <w:szCs w:val="32"/>
          <w:highlight w:val="none"/>
        </w:rPr>
        <w:t>评审程序</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（一）申报通知下发。学院评审委员会根据学校下发的研究生学业奖学金评审通知及名额分配向学院研究生下发申报通知；</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（二）学生个人申请。符合申报条件有意愿申请学业奖学金的研究生向学院评审委员会提出申请，并在规定时间内提交相应证明材料；</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（三）资格材料审查。学院评审委员会对申报者基本申请条件及参评条件进行审查，对申报者参评证明材料进行核实；</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四）综合量化评价。学院评审委员会负责对申报者学习成绩、科研成果、思想品德、社会实践等进行综合量化评价，根据申报者量化评价积分数值确立初步拟获奖研究生名单。评审过程中尊重研究生导师的推荐意见；</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（五）评审结果公示。学院评审委员会将初步拟获奖研究生名单在学院网站及公示栏上进行公示，公示期不少于5个工作日。公示无异议后，提交学校研究生学业奖学金评审领导小组进行审定。</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b/>
          <w:bCs/>
          <w:color w:val="auto"/>
          <w:sz w:val="24"/>
          <w:szCs w:val="32"/>
          <w:highlight w:val="none"/>
        </w:rPr>
        <w:t xml:space="preserve">第十一条 </w:t>
      </w:r>
      <w:r>
        <w:rPr>
          <w:rFonts w:hint="eastAsia" w:ascii="仿宋" w:hAnsi="仿宋" w:eastAsia="仿宋" w:cs="仿宋"/>
          <w:color w:val="auto"/>
          <w:sz w:val="24"/>
          <w:szCs w:val="32"/>
          <w:highlight w:val="none"/>
        </w:rPr>
        <w:t>对研究生学业奖学金评审结果有异议的研究生，可在培养单位公示阶段向所在培养单位评审委员会提出书面申诉，评审委员会及时研究并予以答复。如研究生对培养单位作出的答复仍存在异议，可在学校公示阶段向学校研究生国家奖学金评审领导小组提请裁决。</w:t>
      </w:r>
    </w:p>
    <w:p>
      <w:pPr>
        <w:spacing w:line="560" w:lineRule="exact"/>
        <w:jc w:val="center"/>
        <w:rPr>
          <w:rFonts w:ascii="仿宋" w:hAnsi="仿宋" w:eastAsia="仿宋" w:cs="仿宋"/>
          <w:color w:val="auto"/>
          <w:sz w:val="24"/>
          <w:szCs w:val="32"/>
          <w:highlight w:val="none"/>
        </w:rPr>
      </w:pPr>
      <w:r>
        <w:rPr>
          <w:rFonts w:hint="eastAsia" w:ascii="黑体" w:hAnsi="黑体" w:eastAsia="黑体" w:cs="黑体"/>
          <w:color w:val="auto"/>
          <w:sz w:val="28"/>
          <w:szCs w:val="36"/>
          <w:highlight w:val="none"/>
        </w:rPr>
        <w:t>第四章 学业奖学金评审方式及各类成果分值计算</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b/>
          <w:bCs/>
          <w:color w:val="auto"/>
          <w:sz w:val="24"/>
          <w:szCs w:val="32"/>
          <w:highlight w:val="none"/>
        </w:rPr>
        <w:t xml:space="preserve">第十二条 </w:t>
      </w:r>
      <w:r>
        <w:rPr>
          <w:rFonts w:hint="eastAsia" w:ascii="仿宋" w:hAnsi="仿宋" w:eastAsia="仿宋" w:cs="仿宋"/>
          <w:color w:val="auto"/>
          <w:sz w:val="24"/>
          <w:szCs w:val="32"/>
          <w:highlight w:val="none"/>
        </w:rPr>
        <w:t>学业奖学金评审方式</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（一）2022级硕士研究生：一等奖学金每生每年 10000 元（参评人员为推荐免试研究生），二等奖学金每生每年 8000 元，参评人员为统考研究生，按各专业方向（以报考代码区分）初试和复试综合总成绩排名前 30%确定，综合成绩一致时，初试分高者优先。（参照校发〔2021〕12号文件）</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（二）2021级硕士、博士研究生：采取综合量化评价方式</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b/>
          <w:bCs/>
          <w:color w:val="auto"/>
          <w:sz w:val="24"/>
          <w:szCs w:val="32"/>
          <w:highlight w:val="none"/>
        </w:rPr>
        <w:t>综合量化评价分值</w:t>
      </w:r>
      <w:r>
        <w:rPr>
          <w:rFonts w:hint="eastAsia" w:ascii="仿宋" w:hAnsi="仿宋" w:eastAsia="仿宋" w:cs="仿宋"/>
          <w:color w:val="auto"/>
          <w:sz w:val="24"/>
          <w:szCs w:val="32"/>
          <w:highlight w:val="none"/>
        </w:rPr>
        <w:t>=（学习成绩×0.1）积分+科研成果积分+思想品德积分+社会实践积分</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（三）2020级硕士研究生：采取综合量化评价方式</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b/>
          <w:bCs/>
          <w:color w:val="auto"/>
          <w:sz w:val="24"/>
          <w:szCs w:val="32"/>
          <w:highlight w:val="none"/>
        </w:rPr>
        <w:t>综合量化评价分值</w:t>
      </w:r>
      <w:r>
        <w:rPr>
          <w:rFonts w:hint="eastAsia" w:ascii="仿宋" w:hAnsi="仿宋" w:eastAsia="仿宋" w:cs="仿宋"/>
          <w:color w:val="auto"/>
          <w:sz w:val="24"/>
          <w:szCs w:val="32"/>
          <w:highlight w:val="none"/>
        </w:rPr>
        <w:t>=科研成果积分+思想品德积分+社会实践积分</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说明：2021级硕博研究生和2020级硕士研究生综合量化评价分值累计值相等时，研究生期间学位课课程学习成绩高者优先。</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（四）2019级、2020级博士研究生：每人每年10000元，入学后每年一评，参评次数不超过3次。（参照校发〔2017〕92号文件）</w:t>
      </w:r>
    </w:p>
    <w:p>
      <w:pPr>
        <w:spacing w:line="560" w:lineRule="exact"/>
        <w:ind w:firstLine="630"/>
        <w:rPr>
          <w:rFonts w:ascii="仿宋" w:hAnsi="仿宋" w:eastAsia="仿宋" w:cs="仿宋"/>
          <w:b/>
          <w:bCs/>
          <w:color w:val="auto"/>
          <w:sz w:val="24"/>
          <w:szCs w:val="32"/>
          <w:highlight w:val="none"/>
        </w:rPr>
      </w:pPr>
    </w:p>
    <w:p>
      <w:pPr>
        <w:spacing w:line="560" w:lineRule="exact"/>
        <w:ind w:firstLine="630"/>
        <w:rPr>
          <w:rFonts w:ascii="仿宋" w:hAnsi="仿宋" w:eastAsia="仿宋" w:cs="仿宋"/>
          <w:b/>
          <w:bCs/>
          <w:color w:val="auto"/>
          <w:sz w:val="24"/>
          <w:szCs w:val="32"/>
          <w:highlight w:val="none"/>
        </w:rPr>
      </w:pPr>
    </w:p>
    <w:p>
      <w:pPr>
        <w:spacing w:line="560" w:lineRule="exact"/>
        <w:ind w:firstLine="630"/>
        <w:rPr>
          <w:rFonts w:ascii="仿宋" w:hAnsi="仿宋" w:eastAsia="仿宋" w:cs="仿宋"/>
          <w:b/>
          <w:bCs/>
          <w:color w:val="auto"/>
          <w:sz w:val="24"/>
          <w:highlight w:val="none"/>
        </w:rPr>
      </w:pPr>
      <w:r>
        <w:rPr>
          <w:rFonts w:hint="eastAsia" w:ascii="仿宋" w:hAnsi="仿宋" w:eastAsia="仿宋" w:cs="仿宋"/>
          <w:b/>
          <w:bCs/>
          <w:color w:val="auto"/>
          <w:sz w:val="24"/>
          <w:szCs w:val="32"/>
          <w:highlight w:val="none"/>
        </w:rPr>
        <w:t xml:space="preserve">第十三条 </w:t>
      </w:r>
      <w:r>
        <w:rPr>
          <w:rFonts w:hint="eastAsia" w:ascii="仿宋" w:hAnsi="仿宋" w:eastAsia="仿宋" w:cs="仿宋"/>
          <w:color w:val="auto"/>
          <w:sz w:val="24"/>
          <w:szCs w:val="32"/>
          <w:highlight w:val="none"/>
        </w:rPr>
        <w:t>各类成果分值计算</w:t>
      </w:r>
    </w:p>
    <w:p>
      <w:pPr>
        <w:spacing w:line="560" w:lineRule="exact"/>
        <w:ind w:firstLine="630"/>
        <w:rPr>
          <w:rFonts w:ascii="仿宋" w:hAnsi="仿宋" w:eastAsia="仿宋" w:cs="仿宋"/>
          <w:b/>
          <w:bCs/>
          <w:color w:val="auto"/>
          <w:sz w:val="24"/>
          <w:highlight w:val="none"/>
        </w:rPr>
      </w:pPr>
      <w:r>
        <w:rPr>
          <w:rFonts w:hint="eastAsia" w:ascii="仿宋" w:hAnsi="仿宋" w:eastAsia="仿宋" w:cs="仿宋"/>
          <w:b/>
          <w:bCs/>
          <w:color w:val="auto"/>
          <w:sz w:val="24"/>
          <w:highlight w:val="none"/>
        </w:rPr>
        <w:drawing>
          <wp:anchor distT="0" distB="0" distL="114300" distR="114300" simplePos="0" relativeHeight="251659264" behindDoc="0" locked="0" layoutInCell="1" allowOverlap="1">
            <wp:simplePos x="0" y="0"/>
            <wp:positionH relativeFrom="column">
              <wp:posOffset>1232535</wp:posOffset>
            </wp:positionH>
            <wp:positionV relativeFrom="paragraph">
              <wp:posOffset>351790</wp:posOffset>
            </wp:positionV>
            <wp:extent cx="2012950" cy="482600"/>
            <wp:effectExtent l="0" t="0" r="6350" b="12700"/>
            <wp:wrapNone/>
            <wp:docPr id="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pic:cNvPicPr>
                      <a:picLocks noChangeAspect="1"/>
                    </pic:cNvPicPr>
                  </pic:nvPicPr>
                  <pic:blipFill>
                    <a:blip r:embed="rId4"/>
                    <a:stretch>
                      <a:fillRect/>
                    </a:stretch>
                  </pic:blipFill>
                  <pic:spPr>
                    <a:xfrm>
                      <a:off x="0" y="0"/>
                      <a:ext cx="2012950" cy="482600"/>
                    </a:xfrm>
                    <a:prstGeom prst="rect">
                      <a:avLst/>
                    </a:prstGeom>
                    <a:noFill/>
                    <a:ln>
                      <a:noFill/>
                    </a:ln>
                  </pic:spPr>
                </pic:pic>
              </a:graphicData>
            </a:graphic>
          </wp:anchor>
        </w:drawing>
      </w:r>
      <w:r>
        <w:rPr>
          <w:rFonts w:hint="eastAsia" w:ascii="仿宋" w:hAnsi="仿宋" w:eastAsia="仿宋" w:cs="仿宋"/>
          <w:b/>
          <w:bCs/>
          <w:color w:val="auto"/>
          <w:sz w:val="24"/>
          <w:highlight w:val="none"/>
        </w:rPr>
        <w:t>（一）学习成绩</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课程成绩=                             （学位课程）</w:t>
      </w:r>
    </w:p>
    <w:p>
      <w:pPr>
        <w:spacing w:line="560" w:lineRule="exact"/>
        <w:ind w:firstLine="630"/>
        <w:rPr>
          <w:rFonts w:ascii="仿宋" w:hAnsi="仿宋" w:eastAsia="仿宋" w:cs="仿宋"/>
          <w:b/>
          <w:bCs/>
          <w:color w:val="auto"/>
          <w:sz w:val="24"/>
          <w:highlight w:val="none"/>
        </w:rPr>
      </w:pPr>
      <w:r>
        <w:rPr>
          <w:rFonts w:hint="eastAsia" w:ascii="仿宋" w:hAnsi="仿宋" w:eastAsia="仿宋" w:cs="仿宋"/>
          <w:b/>
          <w:bCs/>
          <w:color w:val="auto"/>
          <w:sz w:val="24"/>
          <w:highlight w:val="none"/>
        </w:rPr>
        <w:t>（二）科研成果</w:t>
      </w:r>
    </w:p>
    <w:p>
      <w:pPr>
        <w:spacing w:line="560" w:lineRule="exact"/>
        <w:ind w:firstLine="630"/>
        <w:rPr>
          <w:rFonts w:ascii="仿宋" w:hAnsi="仿宋" w:eastAsia="仿宋" w:cs="仿宋"/>
          <w:color w:val="auto"/>
          <w:sz w:val="24"/>
          <w:highlight w:val="none"/>
        </w:rPr>
      </w:pPr>
      <w:r>
        <w:rPr>
          <w:rFonts w:hint="eastAsia" w:ascii="仿宋" w:hAnsi="仿宋" w:eastAsia="仿宋" w:cs="仿宋"/>
          <w:b/>
          <w:bCs/>
          <w:color w:val="auto"/>
          <w:sz w:val="24"/>
          <w:highlight w:val="none"/>
        </w:rPr>
        <w:t>（1）科研立项量化标准</w:t>
      </w:r>
      <w:r>
        <w:rPr>
          <w:rFonts w:hint="eastAsia" w:ascii="仿宋" w:hAnsi="仿宋" w:eastAsia="仿宋" w:cs="仿宋"/>
          <w:color w:val="auto"/>
          <w:sz w:val="24"/>
          <w:highlight w:val="none"/>
        </w:rPr>
        <w:t>：</w:t>
      </w:r>
    </w:p>
    <w:p>
      <w:pPr>
        <w:spacing w:line="560" w:lineRule="exact"/>
        <w:jc w:val="center"/>
        <w:rPr>
          <w:rFonts w:ascii="Times New Roman" w:hAnsi="Times New Roman" w:eastAsia="仿宋" w:cs="Times New Roman"/>
          <w:color w:val="auto"/>
          <w:sz w:val="24"/>
          <w:szCs w:val="32"/>
          <w:highlight w:val="none"/>
        </w:rPr>
      </w:pPr>
      <w:r>
        <w:rPr>
          <w:rFonts w:ascii="Times New Roman" w:hAnsi="Times New Roman" w:eastAsia="仿宋" w:cs="Times New Roman"/>
          <w:color w:val="auto"/>
          <w:sz w:val="24"/>
          <w:szCs w:val="32"/>
          <w:highlight w:val="none"/>
        </w:rPr>
        <w:t>表1 科研项目计分标准（单位：分/项）</w:t>
      </w:r>
    </w:p>
    <w:tbl>
      <w:tblPr>
        <w:tblStyle w:val="4"/>
        <w:tblW w:w="418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83"/>
        <w:gridCol w:w="35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510" w:type="pct"/>
            <w:vAlign w:val="center"/>
          </w:tcPr>
          <w:p>
            <w:pPr>
              <w:spacing w:line="340" w:lineRule="exact"/>
              <w:jc w:val="center"/>
              <w:rPr>
                <w:rFonts w:ascii="Times New Roman" w:hAnsi="Times New Roman" w:eastAsia="仿宋" w:cs="Times New Roman"/>
                <w:b/>
                <w:bCs/>
                <w:color w:val="auto"/>
                <w:sz w:val="24"/>
                <w:szCs w:val="32"/>
                <w:highlight w:val="none"/>
              </w:rPr>
            </w:pPr>
            <w:r>
              <w:rPr>
                <w:rFonts w:ascii="Times New Roman" w:hAnsi="Times New Roman" w:eastAsia="仿宋" w:cs="Times New Roman"/>
                <w:b/>
                <w:bCs/>
                <w:color w:val="auto"/>
                <w:sz w:val="24"/>
                <w:szCs w:val="32"/>
                <w:highlight w:val="none"/>
              </w:rPr>
              <w:t>项目级别</w:t>
            </w:r>
          </w:p>
        </w:tc>
        <w:tc>
          <w:tcPr>
            <w:tcW w:w="2489" w:type="pct"/>
            <w:vAlign w:val="center"/>
          </w:tcPr>
          <w:p>
            <w:pPr>
              <w:spacing w:line="340" w:lineRule="exact"/>
              <w:jc w:val="center"/>
              <w:rPr>
                <w:rFonts w:ascii="Times New Roman" w:hAnsi="Times New Roman" w:eastAsia="仿宋" w:cs="Times New Roman"/>
                <w:b/>
                <w:bCs/>
                <w:color w:val="auto"/>
                <w:sz w:val="24"/>
                <w:szCs w:val="32"/>
                <w:highlight w:val="none"/>
              </w:rPr>
            </w:pPr>
            <w:r>
              <w:rPr>
                <w:rFonts w:ascii="Times New Roman" w:hAnsi="Times New Roman" w:eastAsia="仿宋" w:cs="Times New Roman"/>
                <w:b/>
                <w:bCs/>
                <w:color w:val="auto"/>
                <w:sz w:val="24"/>
                <w:szCs w:val="32"/>
                <w:highlight w:val="none"/>
              </w:rPr>
              <w:t>项目积分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510" w:type="pct"/>
            <w:vAlign w:val="center"/>
          </w:tcPr>
          <w:p>
            <w:pPr>
              <w:spacing w:line="340" w:lineRule="exact"/>
              <w:jc w:val="center"/>
              <w:rPr>
                <w:rFonts w:ascii="Times New Roman" w:hAnsi="Times New Roman" w:eastAsia="仿宋" w:cs="Times New Roman"/>
                <w:color w:val="auto"/>
                <w:sz w:val="24"/>
                <w:szCs w:val="32"/>
                <w:highlight w:val="none"/>
              </w:rPr>
            </w:pPr>
            <w:r>
              <w:rPr>
                <w:rFonts w:ascii="Times New Roman" w:hAnsi="Times New Roman" w:eastAsia="仿宋" w:cs="Times New Roman"/>
                <w:color w:val="auto"/>
                <w:sz w:val="24"/>
                <w:szCs w:val="32"/>
                <w:highlight w:val="none"/>
              </w:rPr>
              <w:t>A1</w:t>
            </w:r>
          </w:p>
        </w:tc>
        <w:tc>
          <w:tcPr>
            <w:tcW w:w="2489" w:type="pct"/>
            <w:vAlign w:val="center"/>
          </w:tcPr>
          <w:p>
            <w:pPr>
              <w:spacing w:line="340" w:lineRule="exact"/>
              <w:jc w:val="center"/>
              <w:rPr>
                <w:rFonts w:ascii="Times New Roman" w:hAnsi="Times New Roman" w:eastAsia="仿宋" w:cs="Times New Roman"/>
                <w:color w:val="auto"/>
                <w:sz w:val="24"/>
                <w:szCs w:val="32"/>
                <w:highlight w:val="none"/>
              </w:rPr>
            </w:pPr>
            <w:r>
              <w:rPr>
                <w:rFonts w:ascii="Times New Roman" w:hAnsi="Times New Roman" w:eastAsia="仿宋" w:cs="Times New Roman"/>
                <w:color w:val="auto"/>
                <w:sz w:val="24"/>
                <w:szCs w:val="32"/>
                <w:highlight w:val="none"/>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510" w:type="pct"/>
            <w:vAlign w:val="center"/>
          </w:tcPr>
          <w:p>
            <w:pPr>
              <w:spacing w:line="340" w:lineRule="exact"/>
              <w:jc w:val="center"/>
              <w:rPr>
                <w:rFonts w:ascii="Times New Roman" w:hAnsi="Times New Roman" w:eastAsia="仿宋" w:cs="Times New Roman"/>
                <w:color w:val="auto"/>
                <w:sz w:val="24"/>
                <w:szCs w:val="32"/>
                <w:highlight w:val="none"/>
              </w:rPr>
            </w:pPr>
            <w:r>
              <w:rPr>
                <w:rFonts w:ascii="Times New Roman" w:hAnsi="Times New Roman" w:eastAsia="仿宋" w:cs="Times New Roman"/>
                <w:color w:val="auto"/>
                <w:sz w:val="24"/>
                <w:szCs w:val="32"/>
                <w:highlight w:val="none"/>
              </w:rPr>
              <w:t>A2</w:t>
            </w:r>
          </w:p>
        </w:tc>
        <w:tc>
          <w:tcPr>
            <w:tcW w:w="2489" w:type="pct"/>
            <w:vAlign w:val="center"/>
          </w:tcPr>
          <w:p>
            <w:pPr>
              <w:spacing w:line="340" w:lineRule="exact"/>
              <w:jc w:val="center"/>
              <w:rPr>
                <w:rFonts w:ascii="Times New Roman" w:hAnsi="Times New Roman" w:eastAsia="仿宋" w:cs="Times New Roman"/>
                <w:color w:val="auto"/>
                <w:sz w:val="24"/>
                <w:szCs w:val="32"/>
                <w:highlight w:val="none"/>
              </w:rPr>
            </w:pPr>
            <w:r>
              <w:rPr>
                <w:rFonts w:ascii="Times New Roman" w:hAnsi="Times New Roman" w:eastAsia="仿宋" w:cs="Times New Roman"/>
                <w:color w:val="auto"/>
                <w:sz w:val="24"/>
                <w:szCs w:val="32"/>
                <w:highlight w:val="none"/>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510" w:type="pct"/>
            <w:vAlign w:val="center"/>
          </w:tcPr>
          <w:p>
            <w:pPr>
              <w:spacing w:line="340" w:lineRule="exact"/>
              <w:jc w:val="center"/>
              <w:rPr>
                <w:rFonts w:ascii="Times New Roman" w:hAnsi="Times New Roman" w:eastAsia="仿宋" w:cs="Times New Roman"/>
                <w:color w:val="auto"/>
                <w:sz w:val="24"/>
                <w:szCs w:val="32"/>
                <w:highlight w:val="none"/>
              </w:rPr>
            </w:pPr>
            <w:r>
              <w:rPr>
                <w:rFonts w:ascii="Times New Roman" w:hAnsi="Times New Roman" w:eastAsia="仿宋" w:cs="Times New Roman"/>
                <w:color w:val="auto"/>
                <w:sz w:val="24"/>
                <w:szCs w:val="32"/>
                <w:highlight w:val="none"/>
              </w:rPr>
              <w:t>A3</w:t>
            </w:r>
          </w:p>
        </w:tc>
        <w:tc>
          <w:tcPr>
            <w:tcW w:w="2489" w:type="pct"/>
            <w:vAlign w:val="center"/>
          </w:tcPr>
          <w:p>
            <w:pPr>
              <w:spacing w:line="340" w:lineRule="exact"/>
              <w:jc w:val="center"/>
              <w:rPr>
                <w:rFonts w:ascii="Times New Roman" w:hAnsi="Times New Roman" w:eastAsia="仿宋" w:cs="Times New Roman"/>
                <w:color w:val="auto"/>
                <w:sz w:val="24"/>
                <w:szCs w:val="32"/>
                <w:highlight w:val="none"/>
              </w:rPr>
            </w:pPr>
            <w:r>
              <w:rPr>
                <w:rFonts w:ascii="Times New Roman" w:hAnsi="Times New Roman" w:eastAsia="仿宋" w:cs="Times New Roman"/>
                <w:color w:val="auto"/>
                <w:sz w:val="24"/>
                <w:szCs w:val="32"/>
                <w:highlight w:val="none"/>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510" w:type="pct"/>
            <w:vAlign w:val="center"/>
          </w:tcPr>
          <w:p>
            <w:pPr>
              <w:spacing w:line="340" w:lineRule="exact"/>
              <w:jc w:val="center"/>
              <w:rPr>
                <w:rFonts w:ascii="Times New Roman" w:hAnsi="Times New Roman" w:eastAsia="仿宋" w:cs="Times New Roman"/>
                <w:color w:val="auto"/>
                <w:sz w:val="24"/>
                <w:szCs w:val="32"/>
                <w:highlight w:val="none"/>
              </w:rPr>
            </w:pPr>
            <w:r>
              <w:rPr>
                <w:rFonts w:ascii="Times New Roman" w:hAnsi="Times New Roman" w:eastAsia="仿宋" w:cs="Times New Roman"/>
                <w:color w:val="auto"/>
                <w:sz w:val="24"/>
                <w:szCs w:val="32"/>
                <w:highlight w:val="none"/>
              </w:rPr>
              <w:t>A4</w:t>
            </w:r>
          </w:p>
        </w:tc>
        <w:tc>
          <w:tcPr>
            <w:tcW w:w="2489" w:type="pct"/>
            <w:vAlign w:val="center"/>
          </w:tcPr>
          <w:p>
            <w:pPr>
              <w:spacing w:line="340" w:lineRule="exact"/>
              <w:jc w:val="center"/>
              <w:rPr>
                <w:rFonts w:ascii="Times New Roman" w:hAnsi="Times New Roman" w:eastAsia="仿宋" w:cs="Times New Roman"/>
                <w:color w:val="auto"/>
                <w:sz w:val="24"/>
                <w:szCs w:val="32"/>
                <w:highlight w:val="none"/>
              </w:rPr>
            </w:pPr>
            <w:r>
              <w:rPr>
                <w:rFonts w:ascii="Times New Roman" w:hAnsi="Times New Roman" w:eastAsia="仿宋" w:cs="Times New Roman"/>
                <w:color w:val="auto"/>
                <w:sz w:val="24"/>
                <w:szCs w:val="32"/>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510" w:type="pct"/>
            <w:vAlign w:val="center"/>
          </w:tcPr>
          <w:p>
            <w:pPr>
              <w:spacing w:line="340" w:lineRule="exact"/>
              <w:jc w:val="center"/>
              <w:rPr>
                <w:rFonts w:ascii="Times New Roman" w:hAnsi="Times New Roman" w:eastAsia="仿宋" w:cs="Times New Roman"/>
                <w:color w:val="auto"/>
                <w:sz w:val="24"/>
                <w:szCs w:val="32"/>
                <w:highlight w:val="none"/>
              </w:rPr>
            </w:pPr>
            <w:r>
              <w:rPr>
                <w:rFonts w:ascii="Times New Roman" w:hAnsi="Times New Roman" w:eastAsia="仿宋" w:cs="Times New Roman"/>
                <w:color w:val="auto"/>
                <w:sz w:val="24"/>
                <w:szCs w:val="32"/>
                <w:highlight w:val="none"/>
              </w:rPr>
              <w:t>B1</w:t>
            </w:r>
          </w:p>
        </w:tc>
        <w:tc>
          <w:tcPr>
            <w:tcW w:w="2489" w:type="pct"/>
            <w:vAlign w:val="center"/>
          </w:tcPr>
          <w:p>
            <w:pPr>
              <w:spacing w:line="340" w:lineRule="exact"/>
              <w:jc w:val="center"/>
              <w:rPr>
                <w:rFonts w:ascii="Times New Roman" w:hAnsi="Times New Roman" w:eastAsia="仿宋" w:cs="Times New Roman"/>
                <w:color w:val="auto"/>
                <w:sz w:val="24"/>
                <w:szCs w:val="32"/>
                <w:highlight w:val="none"/>
              </w:rPr>
            </w:pPr>
            <w:r>
              <w:rPr>
                <w:rFonts w:ascii="Times New Roman" w:hAnsi="Times New Roman" w:eastAsia="仿宋" w:cs="Times New Roman"/>
                <w:color w:val="auto"/>
                <w:sz w:val="24"/>
                <w:szCs w:val="32"/>
                <w:highlight w:val="none"/>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510" w:type="pct"/>
            <w:vAlign w:val="center"/>
          </w:tcPr>
          <w:p>
            <w:pPr>
              <w:spacing w:line="340" w:lineRule="exact"/>
              <w:jc w:val="center"/>
              <w:rPr>
                <w:rFonts w:ascii="Times New Roman" w:hAnsi="Times New Roman" w:eastAsia="仿宋" w:cs="Times New Roman"/>
                <w:color w:val="auto"/>
                <w:sz w:val="24"/>
                <w:szCs w:val="32"/>
                <w:highlight w:val="none"/>
              </w:rPr>
            </w:pPr>
            <w:r>
              <w:rPr>
                <w:rFonts w:ascii="Times New Roman" w:hAnsi="Times New Roman" w:eastAsia="仿宋" w:cs="Times New Roman"/>
                <w:color w:val="auto"/>
                <w:sz w:val="24"/>
                <w:szCs w:val="32"/>
                <w:highlight w:val="none"/>
              </w:rPr>
              <w:t>B2</w:t>
            </w:r>
          </w:p>
        </w:tc>
        <w:tc>
          <w:tcPr>
            <w:tcW w:w="2489" w:type="pct"/>
            <w:vAlign w:val="center"/>
          </w:tcPr>
          <w:p>
            <w:pPr>
              <w:spacing w:line="340" w:lineRule="exact"/>
              <w:jc w:val="center"/>
              <w:rPr>
                <w:rFonts w:ascii="Times New Roman" w:hAnsi="Times New Roman" w:eastAsia="仿宋" w:cs="Times New Roman"/>
                <w:color w:val="auto"/>
                <w:sz w:val="24"/>
                <w:szCs w:val="32"/>
                <w:highlight w:val="none"/>
              </w:rPr>
            </w:pPr>
            <w:r>
              <w:rPr>
                <w:rFonts w:ascii="Times New Roman" w:hAnsi="Times New Roman" w:eastAsia="仿宋" w:cs="Times New Roman"/>
                <w:color w:val="auto"/>
                <w:sz w:val="24"/>
                <w:szCs w:val="32"/>
                <w:highlight w:val="none"/>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510" w:type="pct"/>
            <w:vAlign w:val="center"/>
          </w:tcPr>
          <w:p>
            <w:pPr>
              <w:spacing w:line="340" w:lineRule="exact"/>
              <w:jc w:val="center"/>
              <w:rPr>
                <w:rFonts w:ascii="Times New Roman" w:hAnsi="Times New Roman" w:eastAsia="仿宋" w:cs="Times New Roman"/>
                <w:color w:val="auto"/>
                <w:sz w:val="24"/>
                <w:szCs w:val="32"/>
                <w:highlight w:val="none"/>
              </w:rPr>
            </w:pPr>
            <w:r>
              <w:rPr>
                <w:rFonts w:ascii="Times New Roman" w:hAnsi="Times New Roman" w:eastAsia="仿宋" w:cs="Times New Roman"/>
                <w:color w:val="auto"/>
                <w:sz w:val="24"/>
                <w:szCs w:val="32"/>
                <w:highlight w:val="none"/>
              </w:rPr>
              <w:t>B3</w:t>
            </w:r>
          </w:p>
        </w:tc>
        <w:tc>
          <w:tcPr>
            <w:tcW w:w="2489" w:type="pct"/>
            <w:vAlign w:val="center"/>
          </w:tcPr>
          <w:p>
            <w:pPr>
              <w:spacing w:line="340" w:lineRule="exact"/>
              <w:jc w:val="center"/>
              <w:rPr>
                <w:rFonts w:ascii="Times New Roman" w:hAnsi="Times New Roman" w:eastAsia="仿宋" w:cs="Times New Roman"/>
                <w:color w:val="auto"/>
                <w:sz w:val="24"/>
                <w:szCs w:val="32"/>
                <w:highlight w:val="none"/>
              </w:rPr>
            </w:pPr>
            <w:r>
              <w:rPr>
                <w:rFonts w:ascii="Times New Roman" w:hAnsi="Times New Roman" w:eastAsia="仿宋" w:cs="Times New Roman"/>
                <w:color w:val="auto"/>
                <w:sz w:val="24"/>
                <w:szCs w:val="32"/>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510" w:type="pct"/>
            <w:vAlign w:val="center"/>
          </w:tcPr>
          <w:p>
            <w:pPr>
              <w:spacing w:line="340" w:lineRule="exact"/>
              <w:jc w:val="center"/>
              <w:rPr>
                <w:rFonts w:ascii="Times New Roman" w:hAnsi="Times New Roman" w:eastAsia="仿宋" w:cs="Times New Roman"/>
                <w:color w:val="auto"/>
                <w:sz w:val="24"/>
                <w:szCs w:val="32"/>
                <w:highlight w:val="none"/>
              </w:rPr>
            </w:pPr>
            <w:r>
              <w:rPr>
                <w:rFonts w:ascii="Times New Roman" w:hAnsi="Times New Roman" w:eastAsia="仿宋" w:cs="Times New Roman"/>
                <w:color w:val="auto"/>
                <w:sz w:val="24"/>
                <w:szCs w:val="32"/>
                <w:highlight w:val="none"/>
              </w:rPr>
              <w:t>C1</w:t>
            </w:r>
          </w:p>
        </w:tc>
        <w:tc>
          <w:tcPr>
            <w:tcW w:w="2489" w:type="pct"/>
            <w:vAlign w:val="center"/>
          </w:tcPr>
          <w:p>
            <w:pPr>
              <w:spacing w:line="340" w:lineRule="exact"/>
              <w:jc w:val="center"/>
              <w:rPr>
                <w:rFonts w:ascii="Times New Roman" w:hAnsi="Times New Roman" w:eastAsia="仿宋" w:cs="Times New Roman"/>
                <w:color w:val="auto"/>
                <w:sz w:val="24"/>
                <w:szCs w:val="32"/>
                <w:highlight w:val="none"/>
              </w:rPr>
            </w:pPr>
            <w:r>
              <w:rPr>
                <w:rFonts w:ascii="Times New Roman" w:hAnsi="Times New Roman" w:eastAsia="仿宋" w:cs="Times New Roman"/>
                <w:color w:val="auto"/>
                <w:sz w:val="24"/>
                <w:szCs w:val="32"/>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510" w:type="pct"/>
            <w:vAlign w:val="center"/>
          </w:tcPr>
          <w:p>
            <w:pPr>
              <w:spacing w:line="340" w:lineRule="exact"/>
              <w:jc w:val="center"/>
              <w:rPr>
                <w:rFonts w:ascii="Times New Roman" w:hAnsi="Times New Roman" w:eastAsia="仿宋" w:cs="Times New Roman"/>
                <w:color w:val="auto"/>
                <w:sz w:val="24"/>
                <w:szCs w:val="32"/>
                <w:highlight w:val="none"/>
              </w:rPr>
            </w:pPr>
            <w:r>
              <w:rPr>
                <w:rFonts w:ascii="Times New Roman" w:hAnsi="Times New Roman" w:eastAsia="仿宋" w:cs="Times New Roman"/>
                <w:color w:val="auto"/>
                <w:sz w:val="24"/>
                <w:szCs w:val="32"/>
                <w:highlight w:val="none"/>
              </w:rPr>
              <w:t>C2</w:t>
            </w:r>
          </w:p>
        </w:tc>
        <w:tc>
          <w:tcPr>
            <w:tcW w:w="2489" w:type="pct"/>
            <w:vAlign w:val="center"/>
          </w:tcPr>
          <w:p>
            <w:pPr>
              <w:spacing w:line="340" w:lineRule="exact"/>
              <w:jc w:val="center"/>
              <w:rPr>
                <w:rFonts w:ascii="Times New Roman" w:hAnsi="Times New Roman" w:eastAsia="仿宋" w:cs="Times New Roman"/>
                <w:color w:val="auto"/>
                <w:sz w:val="24"/>
                <w:szCs w:val="32"/>
                <w:highlight w:val="none"/>
              </w:rPr>
            </w:pPr>
            <w:r>
              <w:rPr>
                <w:rFonts w:ascii="Times New Roman" w:hAnsi="Times New Roman" w:eastAsia="仿宋" w:cs="Times New Roman"/>
                <w:color w:val="auto"/>
                <w:sz w:val="24"/>
                <w:szCs w:val="32"/>
                <w:highlight w:val="none"/>
              </w:rPr>
              <w:t>1</w:t>
            </w:r>
          </w:p>
        </w:tc>
      </w:tr>
    </w:tbl>
    <w:p>
      <w:pPr>
        <w:spacing w:line="560" w:lineRule="exact"/>
        <w:ind w:firstLine="630"/>
        <w:rPr>
          <w:rFonts w:ascii="仿宋" w:hAnsi="仿宋" w:eastAsia="仿宋" w:cs="仿宋"/>
          <w:color w:val="auto"/>
          <w:sz w:val="24"/>
          <w:highlight w:val="none"/>
        </w:rPr>
      </w:pPr>
      <w:r>
        <w:rPr>
          <w:rFonts w:hint="eastAsia" w:ascii="仿宋" w:hAnsi="仿宋" w:eastAsia="仿宋" w:cs="仿宋"/>
          <w:color w:val="auto"/>
          <w:sz w:val="24"/>
          <w:highlight w:val="none"/>
        </w:rPr>
        <w:t>注：1.项目得分依据所参与项目的排名进行计算，项目负责人得满分，其他排名以满分的1/2，1/4，1/8，…，1/2</w:t>
      </w:r>
      <w:r>
        <w:rPr>
          <w:rFonts w:hint="eastAsia" w:ascii="仿宋" w:hAnsi="仿宋" w:eastAsia="仿宋" w:cs="仿宋"/>
          <w:color w:val="auto"/>
          <w:sz w:val="24"/>
          <w:highlight w:val="none"/>
          <w:vertAlign w:val="superscript"/>
        </w:rPr>
        <w:t>n-1</w:t>
      </w:r>
      <w:r>
        <w:rPr>
          <w:rFonts w:hint="eastAsia" w:ascii="仿宋" w:hAnsi="仿宋" w:eastAsia="仿宋" w:cs="仿宋"/>
          <w:color w:val="auto"/>
          <w:sz w:val="24"/>
          <w:highlight w:val="none"/>
        </w:rPr>
        <w:t>等依次递减，分值低于0.1不再计分；</w:t>
      </w:r>
    </w:p>
    <w:p>
      <w:pPr>
        <w:spacing w:line="560" w:lineRule="exact"/>
        <w:ind w:firstLine="630"/>
        <w:rPr>
          <w:rFonts w:ascii="仿宋" w:hAnsi="仿宋" w:eastAsia="仿宋" w:cs="仿宋"/>
          <w:color w:val="auto"/>
          <w:sz w:val="24"/>
          <w:highlight w:val="none"/>
        </w:rPr>
      </w:pPr>
      <w:r>
        <w:rPr>
          <w:rFonts w:hint="eastAsia" w:ascii="仿宋" w:hAnsi="仿宋" w:eastAsia="仿宋" w:cs="仿宋"/>
          <w:color w:val="auto"/>
          <w:sz w:val="24"/>
          <w:highlight w:val="none"/>
        </w:rPr>
        <w:t>2.每位研究生限报1项科研项目。</w:t>
      </w:r>
    </w:p>
    <w:p>
      <w:pPr>
        <w:spacing w:line="560" w:lineRule="exact"/>
        <w:ind w:firstLine="630"/>
        <w:rPr>
          <w:rFonts w:ascii="仿宋" w:hAnsi="仿宋" w:eastAsia="仿宋" w:cs="仿宋"/>
          <w:color w:val="auto"/>
          <w:sz w:val="24"/>
          <w:highlight w:val="none"/>
        </w:rPr>
      </w:pPr>
      <w:r>
        <w:rPr>
          <w:rFonts w:hint="eastAsia" w:ascii="仿宋" w:hAnsi="仿宋" w:eastAsia="仿宋" w:cs="仿宋"/>
          <w:b/>
          <w:bCs/>
          <w:color w:val="auto"/>
          <w:sz w:val="24"/>
          <w:highlight w:val="none"/>
        </w:rPr>
        <w:t>（2）科研获奖量化标准</w:t>
      </w:r>
      <w:r>
        <w:rPr>
          <w:rFonts w:hint="eastAsia" w:ascii="仿宋" w:hAnsi="仿宋" w:eastAsia="仿宋" w:cs="仿宋"/>
          <w:color w:val="auto"/>
          <w:sz w:val="24"/>
          <w:highlight w:val="none"/>
        </w:rPr>
        <w:t>：</w:t>
      </w:r>
    </w:p>
    <w:p>
      <w:pPr>
        <w:spacing w:line="560" w:lineRule="exact"/>
        <w:jc w:val="center"/>
        <w:rPr>
          <w:rFonts w:ascii="Times New Roman" w:hAnsi="Times New Roman" w:eastAsia="仿宋" w:cs="Times New Roman"/>
          <w:color w:val="auto"/>
          <w:sz w:val="24"/>
          <w:szCs w:val="32"/>
          <w:highlight w:val="none"/>
        </w:rPr>
      </w:pPr>
      <w:r>
        <w:rPr>
          <w:rFonts w:ascii="Times New Roman" w:hAnsi="Times New Roman" w:eastAsia="仿宋" w:cs="Times New Roman"/>
          <w:color w:val="auto"/>
          <w:sz w:val="24"/>
          <w:szCs w:val="32"/>
          <w:highlight w:val="none"/>
        </w:rPr>
        <w:t>表</w:t>
      </w:r>
      <w:r>
        <w:rPr>
          <w:rFonts w:hint="eastAsia" w:ascii="Times New Roman" w:hAnsi="Times New Roman" w:eastAsia="仿宋" w:cs="Times New Roman"/>
          <w:color w:val="auto"/>
          <w:sz w:val="24"/>
          <w:szCs w:val="32"/>
          <w:highlight w:val="none"/>
        </w:rPr>
        <w:t>2</w:t>
      </w:r>
      <w:r>
        <w:rPr>
          <w:rFonts w:ascii="Times New Roman" w:hAnsi="Times New Roman" w:eastAsia="仿宋" w:cs="Times New Roman"/>
          <w:color w:val="auto"/>
          <w:sz w:val="24"/>
          <w:szCs w:val="32"/>
          <w:highlight w:val="none"/>
        </w:rPr>
        <w:t xml:space="preserve"> 科研获奖的计分标准（单位：分/项）</w:t>
      </w:r>
    </w:p>
    <w:tbl>
      <w:tblPr>
        <w:tblStyle w:val="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4"/>
        <w:gridCol w:w="1633"/>
        <w:gridCol w:w="1633"/>
        <w:gridCol w:w="1633"/>
        <w:gridCol w:w="16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trPr>
        <w:tc>
          <w:tcPr>
            <w:tcW w:w="1164" w:type="pct"/>
            <w:vAlign w:val="center"/>
          </w:tcPr>
          <w:p>
            <w:pPr>
              <w:spacing w:line="400" w:lineRule="exact"/>
              <w:jc w:val="center"/>
              <w:rPr>
                <w:rFonts w:ascii="Times New Roman" w:hAnsi="Times New Roman" w:eastAsia="仿宋" w:cs="Times New Roman"/>
                <w:b/>
                <w:bCs/>
                <w:color w:val="auto"/>
                <w:sz w:val="24"/>
                <w:szCs w:val="32"/>
                <w:highlight w:val="none"/>
              </w:rPr>
            </w:pPr>
            <w:r>
              <w:rPr>
                <w:rFonts w:ascii="Times New Roman" w:hAnsi="Times New Roman" w:eastAsia="仿宋" w:cs="Times New Roman"/>
                <w:b/>
                <w:bCs/>
                <w:color w:val="auto"/>
                <w:sz w:val="24"/>
                <w:szCs w:val="32"/>
                <w:highlight w:val="none"/>
              </w:rPr>
              <w:t>项目级别</w:t>
            </w:r>
          </w:p>
        </w:tc>
        <w:tc>
          <w:tcPr>
            <w:tcW w:w="958" w:type="pct"/>
            <w:vAlign w:val="center"/>
          </w:tcPr>
          <w:p>
            <w:pPr>
              <w:spacing w:line="400" w:lineRule="exact"/>
              <w:jc w:val="center"/>
              <w:rPr>
                <w:rFonts w:ascii="Times New Roman" w:hAnsi="Times New Roman" w:eastAsia="仿宋" w:cs="Times New Roman"/>
                <w:b/>
                <w:bCs/>
                <w:color w:val="auto"/>
                <w:sz w:val="24"/>
                <w:szCs w:val="32"/>
                <w:highlight w:val="none"/>
              </w:rPr>
            </w:pPr>
            <w:r>
              <w:rPr>
                <w:rFonts w:hint="eastAsia" w:ascii="Times New Roman" w:hAnsi="Times New Roman" w:eastAsia="仿宋" w:cs="Times New Roman"/>
                <w:b/>
                <w:bCs/>
                <w:color w:val="auto"/>
                <w:sz w:val="24"/>
                <w:szCs w:val="32"/>
                <w:highlight w:val="none"/>
              </w:rPr>
              <w:t>特等奖</w:t>
            </w:r>
          </w:p>
        </w:tc>
        <w:tc>
          <w:tcPr>
            <w:tcW w:w="958" w:type="pct"/>
            <w:vAlign w:val="center"/>
          </w:tcPr>
          <w:p>
            <w:pPr>
              <w:spacing w:line="400" w:lineRule="exact"/>
              <w:jc w:val="center"/>
              <w:rPr>
                <w:rFonts w:ascii="Times New Roman" w:hAnsi="Times New Roman" w:eastAsia="仿宋" w:cs="Times New Roman"/>
                <w:b/>
                <w:bCs/>
                <w:color w:val="auto"/>
                <w:sz w:val="24"/>
                <w:szCs w:val="32"/>
                <w:highlight w:val="none"/>
              </w:rPr>
            </w:pPr>
            <w:r>
              <w:rPr>
                <w:rFonts w:ascii="Times New Roman" w:hAnsi="Times New Roman" w:eastAsia="仿宋" w:cs="Times New Roman"/>
                <w:b/>
                <w:bCs/>
                <w:color w:val="auto"/>
                <w:sz w:val="24"/>
                <w:szCs w:val="32"/>
                <w:highlight w:val="none"/>
              </w:rPr>
              <w:t>一等奖</w:t>
            </w:r>
          </w:p>
        </w:tc>
        <w:tc>
          <w:tcPr>
            <w:tcW w:w="958" w:type="pct"/>
            <w:vAlign w:val="center"/>
          </w:tcPr>
          <w:p>
            <w:pPr>
              <w:spacing w:line="400" w:lineRule="exact"/>
              <w:jc w:val="center"/>
              <w:rPr>
                <w:rFonts w:ascii="Times New Roman" w:hAnsi="Times New Roman" w:eastAsia="仿宋" w:cs="Times New Roman"/>
                <w:b/>
                <w:bCs/>
                <w:color w:val="auto"/>
                <w:sz w:val="24"/>
                <w:szCs w:val="32"/>
                <w:highlight w:val="none"/>
              </w:rPr>
            </w:pPr>
            <w:r>
              <w:rPr>
                <w:rFonts w:ascii="Times New Roman" w:hAnsi="Times New Roman" w:eastAsia="仿宋" w:cs="Times New Roman"/>
                <w:b/>
                <w:bCs/>
                <w:color w:val="auto"/>
                <w:sz w:val="24"/>
                <w:szCs w:val="32"/>
                <w:highlight w:val="none"/>
              </w:rPr>
              <w:t>二等奖</w:t>
            </w:r>
          </w:p>
        </w:tc>
        <w:tc>
          <w:tcPr>
            <w:tcW w:w="959" w:type="pct"/>
            <w:vAlign w:val="center"/>
          </w:tcPr>
          <w:p>
            <w:pPr>
              <w:spacing w:line="400" w:lineRule="exact"/>
              <w:jc w:val="center"/>
              <w:rPr>
                <w:rFonts w:ascii="Times New Roman" w:hAnsi="Times New Roman" w:eastAsia="仿宋" w:cs="Times New Roman"/>
                <w:b/>
                <w:bCs/>
                <w:color w:val="auto"/>
                <w:sz w:val="24"/>
                <w:szCs w:val="32"/>
                <w:highlight w:val="none"/>
              </w:rPr>
            </w:pPr>
            <w:r>
              <w:rPr>
                <w:rFonts w:ascii="Times New Roman" w:hAnsi="Times New Roman" w:eastAsia="仿宋" w:cs="Times New Roman"/>
                <w:b/>
                <w:bCs/>
                <w:color w:val="auto"/>
                <w:sz w:val="24"/>
                <w:szCs w:val="32"/>
                <w:highlight w:val="none"/>
              </w:rPr>
              <w:t>三等奖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4" w:type="pct"/>
            <w:vAlign w:val="center"/>
          </w:tcPr>
          <w:p>
            <w:pPr>
              <w:spacing w:line="400" w:lineRule="exact"/>
              <w:jc w:val="center"/>
              <w:rPr>
                <w:rFonts w:ascii="Times New Roman" w:hAnsi="Times New Roman" w:eastAsia="仿宋" w:cs="Times New Roman"/>
                <w:b/>
                <w:bCs/>
                <w:color w:val="auto"/>
                <w:sz w:val="24"/>
                <w:szCs w:val="32"/>
                <w:highlight w:val="none"/>
              </w:rPr>
            </w:pPr>
            <w:r>
              <w:rPr>
                <w:rFonts w:ascii="Times New Roman" w:hAnsi="Times New Roman" w:eastAsia="仿宋" w:cs="Times New Roman"/>
                <w:b/>
                <w:bCs/>
                <w:color w:val="auto"/>
                <w:sz w:val="24"/>
                <w:szCs w:val="32"/>
                <w:highlight w:val="none"/>
              </w:rPr>
              <w:t>国家级</w:t>
            </w:r>
          </w:p>
        </w:tc>
        <w:tc>
          <w:tcPr>
            <w:tcW w:w="958" w:type="pct"/>
            <w:vAlign w:val="center"/>
          </w:tcPr>
          <w:p>
            <w:pPr>
              <w:spacing w:line="400" w:lineRule="exact"/>
              <w:jc w:val="center"/>
              <w:rPr>
                <w:rFonts w:ascii="Times New Roman" w:hAnsi="Times New Roman" w:eastAsia="仿宋" w:cs="Times New Roman"/>
                <w:color w:val="auto"/>
                <w:sz w:val="24"/>
                <w:szCs w:val="32"/>
                <w:highlight w:val="none"/>
              </w:rPr>
            </w:pPr>
            <w:r>
              <w:rPr>
                <w:rFonts w:hint="eastAsia" w:ascii="Times New Roman" w:hAnsi="Times New Roman" w:eastAsia="仿宋" w:cs="Times New Roman"/>
                <w:color w:val="auto"/>
                <w:sz w:val="24"/>
                <w:szCs w:val="32"/>
                <w:highlight w:val="none"/>
              </w:rPr>
              <w:t>32</w:t>
            </w:r>
          </w:p>
        </w:tc>
        <w:tc>
          <w:tcPr>
            <w:tcW w:w="958" w:type="pct"/>
            <w:vAlign w:val="center"/>
          </w:tcPr>
          <w:p>
            <w:pPr>
              <w:spacing w:line="400" w:lineRule="exact"/>
              <w:jc w:val="center"/>
              <w:rPr>
                <w:rFonts w:ascii="Times New Roman" w:hAnsi="Times New Roman" w:eastAsia="仿宋" w:cs="Times New Roman"/>
                <w:color w:val="auto"/>
                <w:sz w:val="24"/>
                <w:szCs w:val="32"/>
                <w:highlight w:val="none"/>
              </w:rPr>
            </w:pPr>
            <w:r>
              <w:rPr>
                <w:rFonts w:ascii="Times New Roman" w:hAnsi="Times New Roman" w:eastAsia="仿宋" w:cs="Times New Roman"/>
                <w:color w:val="auto"/>
                <w:sz w:val="24"/>
                <w:szCs w:val="32"/>
                <w:highlight w:val="none"/>
              </w:rPr>
              <w:t>24</w:t>
            </w:r>
          </w:p>
        </w:tc>
        <w:tc>
          <w:tcPr>
            <w:tcW w:w="958" w:type="pct"/>
            <w:vAlign w:val="center"/>
          </w:tcPr>
          <w:p>
            <w:pPr>
              <w:spacing w:line="400" w:lineRule="exact"/>
              <w:jc w:val="center"/>
              <w:rPr>
                <w:rFonts w:ascii="Times New Roman" w:hAnsi="Times New Roman" w:eastAsia="仿宋" w:cs="Times New Roman"/>
                <w:color w:val="auto"/>
                <w:sz w:val="24"/>
                <w:szCs w:val="32"/>
                <w:highlight w:val="none"/>
              </w:rPr>
            </w:pPr>
            <w:r>
              <w:rPr>
                <w:rFonts w:ascii="Times New Roman" w:hAnsi="Times New Roman" w:eastAsia="仿宋" w:cs="Times New Roman"/>
                <w:color w:val="auto"/>
                <w:sz w:val="24"/>
                <w:szCs w:val="32"/>
                <w:highlight w:val="none"/>
              </w:rPr>
              <w:t>16</w:t>
            </w:r>
          </w:p>
        </w:tc>
        <w:tc>
          <w:tcPr>
            <w:tcW w:w="959" w:type="pct"/>
            <w:vAlign w:val="center"/>
          </w:tcPr>
          <w:p>
            <w:pPr>
              <w:spacing w:line="400" w:lineRule="exact"/>
              <w:jc w:val="center"/>
              <w:rPr>
                <w:rFonts w:ascii="Times New Roman" w:hAnsi="Times New Roman" w:eastAsia="仿宋" w:cs="Times New Roman"/>
                <w:color w:val="auto"/>
                <w:sz w:val="24"/>
                <w:szCs w:val="32"/>
                <w:highlight w:val="none"/>
              </w:rPr>
            </w:pPr>
            <w:r>
              <w:rPr>
                <w:rFonts w:ascii="Times New Roman" w:hAnsi="Times New Roman" w:eastAsia="仿宋" w:cs="Times New Roman"/>
                <w:color w:val="auto"/>
                <w:sz w:val="24"/>
                <w:szCs w:val="32"/>
                <w:highlight w:val="none"/>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4" w:type="pct"/>
            <w:vAlign w:val="center"/>
          </w:tcPr>
          <w:p>
            <w:pPr>
              <w:spacing w:line="400" w:lineRule="exact"/>
              <w:jc w:val="center"/>
              <w:rPr>
                <w:rFonts w:ascii="Times New Roman" w:hAnsi="Times New Roman" w:eastAsia="仿宋" w:cs="Times New Roman"/>
                <w:b/>
                <w:bCs/>
                <w:color w:val="auto"/>
                <w:sz w:val="24"/>
                <w:szCs w:val="32"/>
                <w:highlight w:val="none"/>
              </w:rPr>
            </w:pPr>
            <w:r>
              <w:rPr>
                <w:rFonts w:ascii="Times New Roman" w:hAnsi="Times New Roman" w:eastAsia="仿宋" w:cs="Times New Roman"/>
                <w:b/>
                <w:bCs/>
                <w:color w:val="auto"/>
                <w:sz w:val="24"/>
                <w:szCs w:val="32"/>
                <w:highlight w:val="none"/>
              </w:rPr>
              <w:t>省部级</w:t>
            </w:r>
          </w:p>
        </w:tc>
        <w:tc>
          <w:tcPr>
            <w:tcW w:w="958" w:type="pct"/>
            <w:vAlign w:val="center"/>
          </w:tcPr>
          <w:p>
            <w:pPr>
              <w:spacing w:line="400" w:lineRule="exact"/>
              <w:jc w:val="center"/>
              <w:rPr>
                <w:rFonts w:ascii="Times New Roman" w:hAnsi="Times New Roman" w:eastAsia="仿宋" w:cs="Times New Roman"/>
                <w:color w:val="auto"/>
                <w:sz w:val="24"/>
                <w:szCs w:val="32"/>
                <w:highlight w:val="none"/>
              </w:rPr>
            </w:pPr>
            <w:r>
              <w:rPr>
                <w:rFonts w:hint="eastAsia" w:ascii="Times New Roman" w:hAnsi="Times New Roman" w:eastAsia="仿宋" w:cs="Times New Roman"/>
                <w:color w:val="auto"/>
                <w:sz w:val="24"/>
                <w:szCs w:val="32"/>
                <w:highlight w:val="none"/>
              </w:rPr>
              <w:t>16</w:t>
            </w:r>
          </w:p>
        </w:tc>
        <w:tc>
          <w:tcPr>
            <w:tcW w:w="958" w:type="pct"/>
            <w:vAlign w:val="center"/>
          </w:tcPr>
          <w:p>
            <w:pPr>
              <w:spacing w:line="400" w:lineRule="exact"/>
              <w:jc w:val="center"/>
              <w:rPr>
                <w:rFonts w:ascii="Times New Roman" w:hAnsi="Times New Roman" w:eastAsia="仿宋" w:cs="Times New Roman"/>
                <w:color w:val="auto"/>
                <w:sz w:val="24"/>
                <w:szCs w:val="32"/>
                <w:highlight w:val="none"/>
              </w:rPr>
            </w:pPr>
            <w:r>
              <w:rPr>
                <w:rFonts w:ascii="Times New Roman" w:hAnsi="Times New Roman" w:eastAsia="仿宋" w:cs="Times New Roman"/>
                <w:color w:val="auto"/>
                <w:sz w:val="24"/>
                <w:szCs w:val="32"/>
                <w:highlight w:val="none"/>
              </w:rPr>
              <w:t>12</w:t>
            </w:r>
          </w:p>
        </w:tc>
        <w:tc>
          <w:tcPr>
            <w:tcW w:w="958" w:type="pct"/>
            <w:vAlign w:val="center"/>
          </w:tcPr>
          <w:p>
            <w:pPr>
              <w:spacing w:line="400" w:lineRule="exact"/>
              <w:jc w:val="center"/>
              <w:rPr>
                <w:rFonts w:ascii="Times New Roman" w:hAnsi="Times New Roman" w:eastAsia="仿宋" w:cs="Times New Roman"/>
                <w:color w:val="auto"/>
                <w:sz w:val="24"/>
                <w:szCs w:val="32"/>
                <w:highlight w:val="none"/>
              </w:rPr>
            </w:pPr>
            <w:r>
              <w:rPr>
                <w:rFonts w:ascii="Times New Roman" w:hAnsi="Times New Roman" w:eastAsia="仿宋" w:cs="Times New Roman"/>
                <w:color w:val="auto"/>
                <w:sz w:val="24"/>
                <w:szCs w:val="32"/>
                <w:highlight w:val="none"/>
              </w:rPr>
              <w:t>8</w:t>
            </w:r>
          </w:p>
        </w:tc>
        <w:tc>
          <w:tcPr>
            <w:tcW w:w="959" w:type="pct"/>
            <w:vAlign w:val="center"/>
          </w:tcPr>
          <w:p>
            <w:pPr>
              <w:spacing w:line="400" w:lineRule="exact"/>
              <w:jc w:val="center"/>
              <w:rPr>
                <w:rFonts w:ascii="Times New Roman" w:hAnsi="Times New Roman" w:eastAsia="仿宋" w:cs="Times New Roman"/>
                <w:color w:val="auto"/>
                <w:sz w:val="24"/>
                <w:szCs w:val="32"/>
                <w:highlight w:val="none"/>
              </w:rPr>
            </w:pPr>
            <w:r>
              <w:rPr>
                <w:rFonts w:ascii="Times New Roman" w:hAnsi="Times New Roman" w:eastAsia="仿宋" w:cs="Times New Roman"/>
                <w:color w:val="auto"/>
                <w:sz w:val="24"/>
                <w:szCs w:val="32"/>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4" w:type="pct"/>
            <w:vAlign w:val="center"/>
          </w:tcPr>
          <w:p>
            <w:pPr>
              <w:spacing w:line="400" w:lineRule="exact"/>
              <w:jc w:val="center"/>
              <w:rPr>
                <w:rFonts w:ascii="Times New Roman" w:hAnsi="Times New Roman" w:eastAsia="仿宋" w:cs="Times New Roman"/>
                <w:b/>
                <w:bCs/>
                <w:color w:val="auto"/>
                <w:sz w:val="24"/>
                <w:szCs w:val="32"/>
                <w:highlight w:val="none"/>
              </w:rPr>
            </w:pPr>
            <w:r>
              <w:rPr>
                <w:rFonts w:ascii="Times New Roman" w:hAnsi="Times New Roman" w:eastAsia="仿宋" w:cs="Times New Roman"/>
                <w:b/>
                <w:bCs/>
                <w:color w:val="auto"/>
                <w:sz w:val="24"/>
                <w:szCs w:val="32"/>
                <w:highlight w:val="none"/>
              </w:rPr>
              <w:t>厅局级</w:t>
            </w:r>
          </w:p>
        </w:tc>
        <w:tc>
          <w:tcPr>
            <w:tcW w:w="958" w:type="pct"/>
            <w:vAlign w:val="center"/>
          </w:tcPr>
          <w:p>
            <w:pPr>
              <w:spacing w:line="400" w:lineRule="exact"/>
              <w:jc w:val="center"/>
              <w:rPr>
                <w:rFonts w:ascii="Times New Roman" w:hAnsi="Times New Roman" w:eastAsia="仿宋" w:cs="Times New Roman"/>
                <w:color w:val="auto"/>
                <w:sz w:val="24"/>
                <w:szCs w:val="32"/>
                <w:highlight w:val="none"/>
              </w:rPr>
            </w:pPr>
            <w:r>
              <w:rPr>
                <w:rFonts w:hint="eastAsia" w:ascii="Times New Roman" w:hAnsi="Times New Roman" w:eastAsia="仿宋" w:cs="Times New Roman"/>
                <w:color w:val="auto"/>
                <w:sz w:val="24"/>
                <w:szCs w:val="32"/>
                <w:highlight w:val="none"/>
              </w:rPr>
              <w:t>8</w:t>
            </w:r>
          </w:p>
        </w:tc>
        <w:tc>
          <w:tcPr>
            <w:tcW w:w="958" w:type="pct"/>
            <w:vAlign w:val="center"/>
          </w:tcPr>
          <w:p>
            <w:pPr>
              <w:spacing w:line="400" w:lineRule="exact"/>
              <w:jc w:val="center"/>
              <w:rPr>
                <w:rFonts w:ascii="Times New Roman" w:hAnsi="Times New Roman" w:eastAsia="仿宋" w:cs="Times New Roman"/>
                <w:color w:val="auto"/>
                <w:sz w:val="24"/>
                <w:szCs w:val="32"/>
                <w:highlight w:val="none"/>
              </w:rPr>
            </w:pPr>
            <w:r>
              <w:rPr>
                <w:rFonts w:ascii="Times New Roman" w:hAnsi="Times New Roman" w:eastAsia="仿宋" w:cs="Times New Roman"/>
                <w:color w:val="auto"/>
                <w:sz w:val="24"/>
                <w:szCs w:val="32"/>
                <w:highlight w:val="none"/>
              </w:rPr>
              <w:t>4</w:t>
            </w:r>
          </w:p>
        </w:tc>
        <w:tc>
          <w:tcPr>
            <w:tcW w:w="958" w:type="pct"/>
            <w:vAlign w:val="center"/>
          </w:tcPr>
          <w:p>
            <w:pPr>
              <w:spacing w:line="400" w:lineRule="exact"/>
              <w:jc w:val="center"/>
              <w:rPr>
                <w:rFonts w:ascii="Times New Roman" w:hAnsi="Times New Roman" w:eastAsia="仿宋" w:cs="Times New Roman"/>
                <w:color w:val="auto"/>
                <w:sz w:val="24"/>
                <w:szCs w:val="32"/>
                <w:highlight w:val="none"/>
              </w:rPr>
            </w:pPr>
            <w:r>
              <w:rPr>
                <w:rFonts w:ascii="Times New Roman" w:hAnsi="Times New Roman" w:eastAsia="仿宋" w:cs="Times New Roman"/>
                <w:color w:val="auto"/>
                <w:sz w:val="24"/>
                <w:szCs w:val="32"/>
                <w:highlight w:val="none"/>
              </w:rPr>
              <w:t>2</w:t>
            </w:r>
          </w:p>
        </w:tc>
        <w:tc>
          <w:tcPr>
            <w:tcW w:w="959" w:type="pct"/>
            <w:vAlign w:val="center"/>
          </w:tcPr>
          <w:p>
            <w:pPr>
              <w:spacing w:line="400" w:lineRule="exact"/>
              <w:jc w:val="center"/>
              <w:rPr>
                <w:rFonts w:ascii="Times New Roman" w:hAnsi="Times New Roman" w:eastAsia="仿宋" w:cs="Times New Roman"/>
                <w:color w:val="auto"/>
                <w:sz w:val="24"/>
                <w:szCs w:val="32"/>
                <w:highlight w:val="none"/>
              </w:rPr>
            </w:pPr>
            <w:r>
              <w:rPr>
                <w:rFonts w:ascii="Times New Roman" w:hAnsi="Times New Roman" w:eastAsia="仿宋" w:cs="Times New Roman"/>
                <w:color w:val="auto"/>
                <w:sz w:val="24"/>
                <w:szCs w:val="32"/>
                <w:highlight w:val="none"/>
              </w:rPr>
              <w:t>1</w:t>
            </w:r>
          </w:p>
        </w:tc>
      </w:tr>
    </w:tbl>
    <w:p>
      <w:pPr>
        <w:spacing w:line="560" w:lineRule="exact"/>
        <w:ind w:firstLine="630"/>
        <w:rPr>
          <w:rFonts w:ascii="仿宋" w:hAnsi="仿宋" w:eastAsia="仿宋" w:cs="仿宋"/>
          <w:color w:val="auto"/>
          <w:sz w:val="24"/>
          <w:highlight w:val="none"/>
        </w:rPr>
      </w:pPr>
      <w:r>
        <w:rPr>
          <w:rFonts w:hint="eastAsia" w:ascii="仿宋" w:hAnsi="仿宋" w:eastAsia="仿宋" w:cs="仿宋"/>
          <w:color w:val="auto"/>
          <w:sz w:val="24"/>
          <w:highlight w:val="none"/>
        </w:rPr>
        <w:t>注：1.科研成果获奖得分以排名进行计算，排名第1得满分，其他排名以满分的1/2，1/4，1/8，…，1/2</w:t>
      </w:r>
      <w:r>
        <w:rPr>
          <w:rFonts w:hint="eastAsia" w:ascii="仿宋" w:hAnsi="仿宋" w:eastAsia="仿宋" w:cs="仿宋"/>
          <w:color w:val="auto"/>
          <w:sz w:val="24"/>
          <w:highlight w:val="none"/>
          <w:vertAlign w:val="superscript"/>
        </w:rPr>
        <w:t>n-1</w:t>
      </w:r>
      <w:r>
        <w:rPr>
          <w:rFonts w:hint="eastAsia" w:ascii="仿宋" w:hAnsi="仿宋" w:eastAsia="仿宋" w:cs="仿宋"/>
          <w:color w:val="auto"/>
          <w:sz w:val="24"/>
          <w:highlight w:val="none"/>
        </w:rPr>
        <w:t>等依次递减，分值低于0.1不再计分；</w:t>
      </w:r>
    </w:p>
    <w:p>
      <w:pPr>
        <w:spacing w:line="560" w:lineRule="exact"/>
        <w:ind w:firstLine="630"/>
        <w:rPr>
          <w:rFonts w:ascii="仿宋" w:hAnsi="仿宋" w:eastAsia="仿宋" w:cs="仿宋"/>
          <w:color w:val="auto"/>
          <w:sz w:val="24"/>
          <w:highlight w:val="none"/>
        </w:rPr>
      </w:pPr>
      <w:r>
        <w:rPr>
          <w:rFonts w:hint="eastAsia" w:ascii="仿宋" w:hAnsi="仿宋" w:eastAsia="仿宋" w:cs="仿宋"/>
          <w:color w:val="auto"/>
          <w:sz w:val="24"/>
          <w:highlight w:val="none"/>
        </w:rPr>
        <w:t>2.同一项目获多个成果获，以最高成果奖计分；获多个项目的成果奖可累积计分。</w:t>
      </w:r>
    </w:p>
    <w:p>
      <w:pPr>
        <w:spacing w:line="560" w:lineRule="exact"/>
        <w:ind w:firstLine="630"/>
        <w:rPr>
          <w:rFonts w:ascii="仿宋" w:hAnsi="仿宋" w:eastAsia="仿宋" w:cs="仿宋"/>
          <w:color w:val="auto"/>
          <w:sz w:val="24"/>
          <w:highlight w:val="none"/>
        </w:rPr>
      </w:pPr>
      <w:r>
        <w:rPr>
          <w:rFonts w:hint="eastAsia" w:ascii="仿宋" w:hAnsi="仿宋" w:eastAsia="仿宋" w:cs="仿宋"/>
          <w:b/>
          <w:bCs/>
          <w:color w:val="auto"/>
          <w:sz w:val="24"/>
          <w:highlight w:val="none"/>
        </w:rPr>
        <w:t>（3）发表论文量化标准</w:t>
      </w:r>
      <w:r>
        <w:rPr>
          <w:rFonts w:hint="eastAsia" w:ascii="仿宋" w:hAnsi="仿宋" w:eastAsia="仿宋" w:cs="仿宋"/>
          <w:color w:val="auto"/>
          <w:sz w:val="24"/>
          <w:highlight w:val="none"/>
        </w:rPr>
        <w:t>：</w:t>
      </w:r>
    </w:p>
    <w:p>
      <w:pPr>
        <w:spacing w:line="560" w:lineRule="exact"/>
        <w:ind w:firstLine="630"/>
        <w:rPr>
          <w:rFonts w:ascii="仿宋" w:hAnsi="仿宋" w:eastAsia="仿宋" w:cs="仿宋"/>
          <w:color w:val="auto"/>
          <w:sz w:val="24"/>
          <w:highlight w:val="none"/>
        </w:rPr>
      </w:pPr>
      <w:r>
        <w:rPr>
          <w:rFonts w:ascii="仿宋" w:hAnsi="仿宋" w:eastAsia="仿宋" w:cs="仿宋"/>
          <w:color w:val="auto"/>
          <w:sz w:val="24"/>
          <w:highlight w:val="none"/>
        </w:rPr>
        <w:t>以本校为第一作者单位（导师为第一作者、学生为第二作者视同学生为第一作者）在国内外公开出版学术期刊及学术会议上发表的论文，按学校当年执行的学术论文类别认定标准，各类刊出论文量化指标由基础分和附加分构成。</w:t>
      </w:r>
    </w:p>
    <w:p>
      <w:pPr>
        <w:spacing w:line="560" w:lineRule="exact"/>
        <w:ind w:firstLine="630"/>
        <w:rPr>
          <w:rFonts w:ascii="仿宋" w:hAnsi="仿宋" w:eastAsia="仿宋" w:cs="仿宋"/>
          <w:color w:val="auto"/>
          <w:sz w:val="24"/>
          <w:highlight w:val="none"/>
        </w:rPr>
      </w:pPr>
      <w:r>
        <w:rPr>
          <w:rFonts w:ascii="仿宋" w:hAnsi="仿宋" w:eastAsia="仿宋" w:cs="仿宋"/>
          <w:color w:val="auto"/>
          <w:sz w:val="24"/>
          <w:highlight w:val="none"/>
        </w:rPr>
        <w:t>（1）基础积分</w:t>
      </w:r>
    </w:p>
    <w:p>
      <w:pPr>
        <w:spacing w:line="560" w:lineRule="exact"/>
        <w:ind w:firstLine="630"/>
        <w:rPr>
          <w:rFonts w:ascii="仿宋" w:hAnsi="仿宋" w:eastAsia="仿宋" w:cs="仿宋"/>
          <w:color w:val="auto"/>
          <w:sz w:val="24"/>
          <w:highlight w:val="none"/>
        </w:rPr>
      </w:pPr>
      <w:r>
        <w:rPr>
          <w:rFonts w:hint="eastAsia" w:ascii="仿宋" w:hAnsi="仿宋" w:eastAsia="仿宋" w:cs="仿宋"/>
          <w:color w:val="auto"/>
          <w:sz w:val="24"/>
          <w:highlight w:val="none"/>
        </w:rPr>
        <w:t>① A类期刊论文每篇积分：中科院一区、电气与电子类IEEE Transactions、学校认定的中文A2类期刊24分，中科院二区18分，中科院三区13分，中科院四区、学校认定的中文A3类期刊10分；</w:t>
      </w:r>
    </w:p>
    <w:p>
      <w:pPr>
        <w:spacing w:line="560" w:lineRule="exact"/>
        <w:ind w:firstLine="630"/>
        <w:rPr>
          <w:rFonts w:ascii="仿宋" w:hAnsi="仿宋" w:eastAsia="仿宋" w:cs="仿宋"/>
          <w:color w:val="auto"/>
          <w:sz w:val="24"/>
          <w:highlight w:val="none"/>
        </w:rPr>
      </w:pPr>
      <w:r>
        <w:rPr>
          <w:rFonts w:hint="eastAsia" w:ascii="仿宋" w:hAnsi="仿宋" w:eastAsia="仿宋" w:cs="仿宋"/>
          <w:color w:val="auto"/>
          <w:sz w:val="24"/>
          <w:highlight w:val="none"/>
        </w:rPr>
        <w:t>② B类期刊论文每篇积分：国内论文每篇积8分、国外论文每篇积6分；</w:t>
      </w:r>
    </w:p>
    <w:p>
      <w:pPr>
        <w:spacing w:line="560" w:lineRule="exact"/>
        <w:ind w:firstLine="630"/>
        <w:rPr>
          <w:rFonts w:ascii="仿宋" w:hAnsi="仿宋" w:eastAsia="仿宋" w:cs="仿宋"/>
          <w:color w:val="auto"/>
          <w:sz w:val="24"/>
          <w:highlight w:val="none"/>
        </w:rPr>
      </w:pPr>
      <w:r>
        <w:rPr>
          <w:rFonts w:hint="eastAsia" w:ascii="仿宋" w:hAnsi="仿宋" w:eastAsia="仿宋" w:cs="仿宋"/>
          <w:color w:val="auto"/>
          <w:sz w:val="24"/>
          <w:highlight w:val="none"/>
        </w:rPr>
        <w:t>③ C类期刊论文每篇积3分；</w:t>
      </w:r>
    </w:p>
    <w:p>
      <w:pPr>
        <w:spacing w:line="560" w:lineRule="exact"/>
        <w:ind w:firstLine="630"/>
        <w:rPr>
          <w:rFonts w:ascii="仿宋" w:hAnsi="仿宋" w:eastAsia="仿宋" w:cs="仿宋"/>
          <w:color w:val="auto"/>
          <w:sz w:val="24"/>
          <w:highlight w:val="none"/>
        </w:rPr>
      </w:pPr>
      <w:r>
        <w:rPr>
          <w:rFonts w:hint="eastAsia" w:ascii="仿宋" w:hAnsi="仿宋" w:eastAsia="仿宋" w:cs="仿宋"/>
          <w:color w:val="auto"/>
          <w:sz w:val="24"/>
          <w:highlight w:val="none"/>
        </w:rPr>
        <w:t>④ ESCI收录的期刊论文每篇积3分；</w:t>
      </w:r>
    </w:p>
    <w:p>
      <w:pPr>
        <w:spacing w:line="560" w:lineRule="exact"/>
        <w:ind w:firstLine="630"/>
        <w:rPr>
          <w:rFonts w:ascii="仿宋" w:hAnsi="仿宋" w:eastAsia="仿宋" w:cs="仿宋"/>
          <w:color w:val="auto"/>
          <w:sz w:val="24"/>
          <w:highlight w:val="none"/>
        </w:rPr>
      </w:pPr>
      <w:r>
        <w:rPr>
          <w:rFonts w:hint="eastAsia" w:ascii="仿宋" w:hAnsi="仿宋" w:eastAsia="仿宋" w:cs="仿宋"/>
          <w:color w:val="auto"/>
          <w:sz w:val="24"/>
          <w:highlight w:val="none"/>
        </w:rPr>
        <w:t>⑤ EI收录的会议论文每篇积2分；</w:t>
      </w:r>
    </w:p>
    <w:p>
      <w:pPr>
        <w:spacing w:line="560" w:lineRule="exact"/>
        <w:ind w:firstLine="630"/>
        <w:rPr>
          <w:rFonts w:ascii="仿宋" w:hAnsi="仿宋" w:eastAsia="仿宋" w:cs="仿宋"/>
          <w:color w:val="auto"/>
          <w:sz w:val="24"/>
          <w:highlight w:val="none"/>
        </w:rPr>
      </w:pPr>
      <w:r>
        <w:rPr>
          <w:rFonts w:hint="eastAsia" w:ascii="仿宋" w:hAnsi="仿宋" w:eastAsia="仿宋" w:cs="仿宋"/>
          <w:color w:val="auto"/>
          <w:sz w:val="24"/>
          <w:highlight w:val="none"/>
        </w:rPr>
        <w:t>⑥ D类论文、未收录的国外EI源期刊、未收录的学术会议论文每篇积1分，且不可再次使用，该项最高积到2分。</w:t>
      </w:r>
    </w:p>
    <w:p>
      <w:pPr>
        <w:spacing w:line="560" w:lineRule="exact"/>
        <w:ind w:firstLine="630"/>
        <w:rPr>
          <w:rFonts w:ascii="仿宋" w:hAnsi="仿宋" w:eastAsia="仿宋" w:cs="仿宋"/>
          <w:color w:val="auto"/>
          <w:sz w:val="24"/>
          <w:highlight w:val="none"/>
        </w:rPr>
      </w:pPr>
      <w:r>
        <w:rPr>
          <w:rFonts w:hint="eastAsia" w:ascii="仿宋" w:hAnsi="仿宋" w:eastAsia="仿宋" w:cs="仿宋"/>
          <w:color w:val="auto"/>
          <w:sz w:val="24"/>
          <w:highlight w:val="none"/>
        </w:rPr>
        <w:t>（2）附加积分</w:t>
      </w:r>
    </w:p>
    <w:p>
      <w:pPr>
        <w:spacing w:line="560" w:lineRule="exact"/>
        <w:ind w:firstLine="630"/>
        <w:rPr>
          <w:rFonts w:ascii="仿宋" w:hAnsi="仿宋" w:eastAsia="仿宋" w:cs="仿宋"/>
          <w:color w:val="auto"/>
          <w:sz w:val="24"/>
          <w:highlight w:val="none"/>
        </w:rPr>
      </w:pPr>
      <w:r>
        <w:rPr>
          <w:rFonts w:hint="eastAsia" w:ascii="仿宋" w:hAnsi="仿宋" w:eastAsia="仿宋" w:cs="仿宋"/>
          <w:color w:val="auto"/>
          <w:sz w:val="24"/>
          <w:highlight w:val="none"/>
        </w:rPr>
        <w:t>① SCI检索论文单篇影响因子大于等于10，每篇论文附加3分；</w:t>
      </w:r>
    </w:p>
    <w:p>
      <w:pPr>
        <w:spacing w:line="560" w:lineRule="exact"/>
        <w:ind w:firstLine="630"/>
        <w:rPr>
          <w:rFonts w:ascii="仿宋" w:hAnsi="仿宋" w:eastAsia="仿宋" w:cs="仿宋"/>
          <w:color w:val="auto"/>
          <w:sz w:val="24"/>
          <w:highlight w:val="none"/>
        </w:rPr>
      </w:pPr>
      <w:r>
        <w:rPr>
          <w:rFonts w:hint="eastAsia" w:ascii="仿宋" w:hAnsi="仿宋" w:eastAsia="仿宋" w:cs="仿宋"/>
          <w:color w:val="auto"/>
          <w:sz w:val="24"/>
          <w:highlight w:val="none"/>
        </w:rPr>
        <w:t>② 发表ESI高被引论文，每篇论文附加3分。</w:t>
      </w:r>
    </w:p>
    <w:p>
      <w:pPr>
        <w:spacing w:line="560" w:lineRule="exact"/>
        <w:ind w:firstLine="630"/>
        <w:rPr>
          <w:rFonts w:ascii="仿宋" w:hAnsi="仿宋" w:eastAsia="仿宋" w:cs="仿宋"/>
          <w:color w:val="auto"/>
          <w:sz w:val="24"/>
          <w:highlight w:val="none"/>
        </w:rPr>
      </w:pPr>
      <w:r>
        <w:rPr>
          <w:rFonts w:hint="eastAsia" w:ascii="仿宋" w:hAnsi="仿宋" w:eastAsia="仿宋" w:cs="仿宋"/>
          <w:color w:val="auto"/>
          <w:sz w:val="24"/>
          <w:highlight w:val="none"/>
        </w:rPr>
        <w:t>注：1.已录用未刊出的A类和国内B类期刊论文，按积分的50%计算，且不可再次使用；需提供期刊录用证明+学生及导师承诺书+论文清样，并承诺刊出期限(≤录用期起的18个月)；如承诺期限内论文未刊出，撤消该学生评定结果，且指导教师需返还学院研究生所获得的双倍奖学金。其他类录用未刊出的论文不积分；</w:t>
      </w:r>
    </w:p>
    <w:p>
      <w:pPr>
        <w:spacing w:line="560" w:lineRule="exact"/>
        <w:ind w:firstLine="630"/>
        <w:rPr>
          <w:rFonts w:ascii="仿宋" w:hAnsi="仿宋" w:eastAsia="仿宋" w:cs="仿宋"/>
          <w:color w:val="auto"/>
          <w:sz w:val="24"/>
          <w:highlight w:val="none"/>
        </w:rPr>
      </w:pPr>
      <w:r>
        <w:rPr>
          <w:rFonts w:hint="eastAsia" w:ascii="仿宋" w:hAnsi="仿宋" w:eastAsia="仿宋" w:cs="仿宋"/>
          <w:color w:val="auto"/>
          <w:sz w:val="24"/>
          <w:highlight w:val="none"/>
        </w:rPr>
        <w:t>2.若国内期刊论文投稿时和论文刊出时等级不一致，按最高等级计算；</w:t>
      </w:r>
    </w:p>
    <w:p>
      <w:pPr>
        <w:spacing w:line="560" w:lineRule="exact"/>
        <w:ind w:firstLine="630"/>
        <w:rPr>
          <w:rFonts w:ascii="仿宋" w:hAnsi="仿宋" w:eastAsia="仿宋" w:cs="仿宋"/>
          <w:color w:val="auto"/>
          <w:sz w:val="24"/>
          <w:highlight w:val="none"/>
        </w:rPr>
      </w:pPr>
      <w:r>
        <w:rPr>
          <w:rFonts w:hint="eastAsia" w:ascii="仿宋" w:hAnsi="仿宋" w:eastAsia="仿宋" w:cs="仿宋"/>
          <w:color w:val="auto"/>
          <w:sz w:val="24"/>
          <w:highlight w:val="none"/>
        </w:rPr>
        <w:t>3.中科院</w:t>
      </w:r>
      <w:bookmarkStart w:id="0" w:name="_Hlk91235477"/>
      <w:r>
        <w:rPr>
          <w:rFonts w:hint="eastAsia" w:ascii="仿宋" w:hAnsi="仿宋" w:eastAsia="仿宋" w:cs="仿宋"/>
          <w:color w:val="auto"/>
          <w:sz w:val="24"/>
          <w:highlight w:val="none"/>
        </w:rPr>
        <w:t>低预警期刊分数按</w:t>
      </w:r>
      <w:r>
        <w:rPr>
          <w:rFonts w:ascii="仿宋" w:hAnsi="仿宋" w:eastAsia="仿宋" w:cs="仿宋"/>
          <w:color w:val="auto"/>
          <w:sz w:val="24"/>
          <w:highlight w:val="none"/>
        </w:rPr>
        <w:t>70</w:t>
      </w:r>
      <w:r>
        <w:rPr>
          <w:rFonts w:hint="eastAsia" w:ascii="仿宋" w:hAnsi="仿宋" w:eastAsia="仿宋" w:cs="仿宋"/>
          <w:color w:val="auto"/>
          <w:sz w:val="24"/>
          <w:highlight w:val="none"/>
        </w:rPr>
        <w:t>%计算</w:t>
      </w:r>
      <w:bookmarkEnd w:id="0"/>
      <w:r>
        <w:rPr>
          <w:rFonts w:ascii="仿宋" w:hAnsi="仿宋" w:eastAsia="仿宋" w:cs="仿宋"/>
          <w:color w:val="auto"/>
          <w:sz w:val="24"/>
          <w:highlight w:val="none"/>
        </w:rPr>
        <w:t xml:space="preserve">, </w:t>
      </w:r>
      <w:r>
        <w:rPr>
          <w:rFonts w:hint="eastAsia" w:ascii="仿宋" w:hAnsi="仿宋" w:eastAsia="仿宋" w:cs="仿宋"/>
          <w:color w:val="auto"/>
          <w:sz w:val="24"/>
          <w:highlight w:val="none"/>
        </w:rPr>
        <w:t>中度预警期刊分数按3</w:t>
      </w:r>
      <w:r>
        <w:rPr>
          <w:rFonts w:ascii="仿宋" w:hAnsi="仿宋" w:eastAsia="仿宋" w:cs="仿宋"/>
          <w:color w:val="auto"/>
          <w:sz w:val="24"/>
          <w:highlight w:val="none"/>
        </w:rPr>
        <w:t>0</w:t>
      </w:r>
      <w:r>
        <w:rPr>
          <w:rFonts w:hint="eastAsia" w:ascii="仿宋" w:hAnsi="仿宋" w:eastAsia="仿宋" w:cs="仿宋"/>
          <w:color w:val="auto"/>
          <w:sz w:val="24"/>
          <w:highlight w:val="none"/>
        </w:rPr>
        <w:t>%计算, 高预警期刊不予认定；</w:t>
      </w:r>
    </w:p>
    <w:p>
      <w:pPr>
        <w:spacing w:line="560" w:lineRule="exact"/>
        <w:ind w:firstLine="630"/>
        <w:rPr>
          <w:rFonts w:ascii="仿宋" w:hAnsi="仿宋" w:eastAsia="仿宋" w:cs="仿宋"/>
          <w:color w:val="auto"/>
          <w:sz w:val="24"/>
          <w:highlight w:val="none"/>
        </w:rPr>
      </w:pPr>
      <w:r>
        <w:rPr>
          <w:rFonts w:hint="eastAsia" w:ascii="仿宋" w:hAnsi="仿宋" w:eastAsia="仿宋" w:cs="仿宋"/>
          <w:color w:val="auto"/>
          <w:sz w:val="24"/>
          <w:highlight w:val="none"/>
        </w:rPr>
        <w:t>4.B类国外论文需检索后方可认定为B类期刊，否则按D类认定；其他期刊论文网络首发即认定有效。</w:t>
      </w:r>
    </w:p>
    <w:p>
      <w:pPr>
        <w:spacing w:line="560" w:lineRule="exact"/>
        <w:ind w:firstLine="630"/>
        <w:rPr>
          <w:rFonts w:ascii="仿宋" w:hAnsi="仿宋" w:eastAsia="仿宋" w:cs="仿宋"/>
          <w:color w:val="auto"/>
          <w:sz w:val="24"/>
          <w:highlight w:val="none"/>
        </w:rPr>
      </w:pPr>
      <w:r>
        <w:rPr>
          <w:rFonts w:hint="eastAsia" w:ascii="仿宋" w:hAnsi="仿宋" w:eastAsia="仿宋" w:cs="仿宋"/>
          <w:b/>
          <w:bCs/>
          <w:color w:val="auto"/>
          <w:sz w:val="24"/>
          <w:highlight w:val="none"/>
        </w:rPr>
        <w:t>（4）获得专利量化标准</w:t>
      </w:r>
      <w:r>
        <w:rPr>
          <w:rFonts w:hint="eastAsia" w:ascii="仿宋" w:hAnsi="仿宋" w:eastAsia="仿宋" w:cs="仿宋"/>
          <w:color w:val="auto"/>
          <w:sz w:val="24"/>
          <w:highlight w:val="none"/>
        </w:rPr>
        <w:t>：</w:t>
      </w:r>
    </w:p>
    <w:p>
      <w:pPr>
        <w:spacing w:line="560" w:lineRule="exact"/>
        <w:ind w:firstLine="630"/>
        <w:rPr>
          <w:rFonts w:ascii="仿宋" w:hAnsi="仿宋" w:eastAsia="仿宋" w:cs="仿宋"/>
          <w:color w:val="auto"/>
          <w:sz w:val="24"/>
          <w:highlight w:val="none"/>
        </w:rPr>
      </w:pPr>
      <w:r>
        <w:rPr>
          <w:rFonts w:ascii="仿宋" w:hAnsi="仿宋" w:eastAsia="仿宋" w:cs="仿宋"/>
          <w:color w:val="auto"/>
          <w:sz w:val="24"/>
          <w:highlight w:val="none"/>
        </w:rPr>
        <w:t>（1）获授权国家发明专利一项积6分；进入实质审查阶段的国家发明专利积1分（最高积2分）；</w:t>
      </w:r>
    </w:p>
    <w:p>
      <w:pPr>
        <w:spacing w:line="560" w:lineRule="exact"/>
        <w:ind w:firstLine="630"/>
        <w:rPr>
          <w:rFonts w:ascii="仿宋" w:hAnsi="仿宋" w:eastAsia="仿宋" w:cs="仿宋"/>
          <w:color w:val="auto"/>
          <w:sz w:val="24"/>
          <w:highlight w:val="none"/>
        </w:rPr>
      </w:pPr>
      <w:r>
        <w:rPr>
          <w:rFonts w:ascii="仿宋" w:hAnsi="仿宋" w:eastAsia="仿宋" w:cs="仿宋"/>
          <w:color w:val="auto"/>
          <w:sz w:val="24"/>
          <w:highlight w:val="none"/>
        </w:rPr>
        <w:t>（2）获授权实用新型专利一项积1分（最高积2分）。</w:t>
      </w:r>
    </w:p>
    <w:p>
      <w:pPr>
        <w:spacing w:line="560" w:lineRule="exact"/>
        <w:ind w:firstLine="630"/>
        <w:rPr>
          <w:rFonts w:ascii="仿宋" w:hAnsi="仿宋" w:eastAsia="仿宋" w:cs="仿宋"/>
          <w:color w:val="auto"/>
          <w:sz w:val="24"/>
          <w:highlight w:val="none"/>
        </w:rPr>
      </w:pPr>
      <w:r>
        <w:rPr>
          <w:rFonts w:hint="eastAsia" w:ascii="仿宋" w:hAnsi="仿宋" w:eastAsia="仿宋" w:cs="仿宋"/>
          <w:color w:val="auto"/>
          <w:sz w:val="24"/>
          <w:highlight w:val="none"/>
        </w:rPr>
        <w:t>注：专利以第一发明人有效（导师为第一发明人、学生为第二发明人视同学生为第一发明人，发明人中无导师的不积分），且以专利公告（公布）日为有效界定时间。</w:t>
      </w:r>
    </w:p>
    <w:p>
      <w:pPr>
        <w:spacing w:line="560" w:lineRule="exact"/>
        <w:ind w:firstLine="630"/>
        <w:rPr>
          <w:rFonts w:ascii="仿宋" w:hAnsi="仿宋" w:eastAsia="仿宋" w:cs="仿宋"/>
          <w:color w:val="auto"/>
          <w:sz w:val="24"/>
          <w:highlight w:val="none"/>
        </w:rPr>
      </w:pPr>
      <w:r>
        <w:rPr>
          <w:rFonts w:hint="eastAsia" w:ascii="仿宋" w:hAnsi="仿宋" w:eastAsia="仿宋" w:cs="仿宋"/>
          <w:b/>
          <w:bCs/>
          <w:color w:val="auto"/>
          <w:sz w:val="24"/>
          <w:highlight w:val="none"/>
        </w:rPr>
        <w:t>（5）科技竞赛量化标准</w:t>
      </w:r>
      <w:r>
        <w:rPr>
          <w:rFonts w:hint="eastAsia" w:ascii="仿宋" w:hAnsi="仿宋" w:eastAsia="仿宋" w:cs="仿宋"/>
          <w:color w:val="auto"/>
          <w:sz w:val="24"/>
          <w:highlight w:val="none"/>
        </w:rPr>
        <w:t>：</w:t>
      </w:r>
    </w:p>
    <w:p>
      <w:pPr>
        <w:spacing w:line="560" w:lineRule="exact"/>
        <w:ind w:firstLine="630"/>
        <w:rPr>
          <w:rFonts w:ascii="仿宋" w:hAnsi="仿宋" w:eastAsia="仿宋" w:cs="仿宋"/>
          <w:color w:val="auto"/>
          <w:sz w:val="24"/>
          <w:highlight w:val="none"/>
        </w:rPr>
      </w:pPr>
      <w:r>
        <w:rPr>
          <w:rFonts w:ascii="仿宋" w:hAnsi="仿宋" w:eastAsia="仿宋" w:cs="仿宋"/>
          <w:color w:val="auto"/>
          <w:sz w:val="24"/>
          <w:highlight w:val="none"/>
        </w:rPr>
        <w:t>（1）获国家级一等奖积10分；二等奖积7分；三等奖或优秀奖积5分；</w:t>
      </w:r>
    </w:p>
    <w:p>
      <w:pPr>
        <w:spacing w:line="560" w:lineRule="exact"/>
        <w:ind w:firstLine="630"/>
        <w:rPr>
          <w:rFonts w:ascii="仿宋" w:hAnsi="仿宋" w:eastAsia="仿宋" w:cs="仿宋"/>
          <w:color w:val="auto"/>
          <w:sz w:val="24"/>
          <w:highlight w:val="none"/>
        </w:rPr>
      </w:pPr>
      <w:r>
        <w:rPr>
          <w:rFonts w:ascii="仿宋" w:hAnsi="仿宋" w:eastAsia="仿宋" w:cs="仿宋"/>
          <w:color w:val="auto"/>
          <w:sz w:val="24"/>
          <w:highlight w:val="none"/>
        </w:rPr>
        <w:t>（2）获地区级（多省）一等奖积5分；二等奖积4分；三等奖或优秀奖积3分；</w:t>
      </w:r>
    </w:p>
    <w:p>
      <w:pPr>
        <w:spacing w:line="560" w:lineRule="exact"/>
        <w:ind w:firstLine="630"/>
        <w:rPr>
          <w:rFonts w:ascii="仿宋" w:hAnsi="仿宋" w:eastAsia="仿宋" w:cs="仿宋"/>
          <w:color w:val="auto"/>
          <w:sz w:val="24"/>
          <w:highlight w:val="none"/>
        </w:rPr>
      </w:pPr>
      <w:r>
        <w:rPr>
          <w:rFonts w:ascii="仿宋" w:hAnsi="仿宋" w:eastAsia="仿宋" w:cs="仿宋"/>
          <w:color w:val="auto"/>
          <w:sz w:val="24"/>
          <w:highlight w:val="none"/>
        </w:rPr>
        <w:t>（3）获省级一等奖积4分；二等奖积3分；三等奖或优秀奖积2分。</w:t>
      </w:r>
    </w:p>
    <w:p>
      <w:pPr>
        <w:spacing w:line="560" w:lineRule="exact"/>
        <w:ind w:firstLine="630"/>
        <w:rPr>
          <w:rFonts w:ascii="仿宋" w:hAnsi="仿宋" w:eastAsia="仿宋" w:cs="仿宋"/>
          <w:color w:val="auto"/>
          <w:sz w:val="24"/>
          <w:highlight w:val="none"/>
        </w:rPr>
      </w:pPr>
      <w:r>
        <w:rPr>
          <w:rFonts w:hint="eastAsia" w:ascii="仿宋" w:hAnsi="仿宋" w:eastAsia="仿宋" w:cs="仿宋"/>
          <w:color w:val="auto"/>
          <w:sz w:val="24"/>
          <w:highlight w:val="none"/>
        </w:rPr>
        <w:t>注：1.集体项目在上述量化分值基础上乘以名次权重。两人一组时，第一名权重0.6，第二名0.4；三人一组时，第一名权重0.5，第二名0.3，第三名0.2；四人一组时，第一名权重0.45，第二名权重0.3，第三名权重0.15，第四名权重0.1；超过四人只考虑前四人。若集体项目无法确定排名先后，则每人积分按平均分计算（总分数除以总人数）；</w:t>
      </w:r>
    </w:p>
    <w:p>
      <w:pPr>
        <w:spacing w:line="560" w:lineRule="exact"/>
        <w:ind w:firstLine="630"/>
        <w:rPr>
          <w:rFonts w:ascii="仿宋" w:hAnsi="仿宋" w:eastAsia="仿宋" w:cs="仿宋"/>
          <w:color w:val="auto"/>
          <w:sz w:val="24"/>
          <w:highlight w:val="none"/>
        </w:rPr>
      </w:pPr>
      <w:r>
        <w:rPr>
          <w:rFonts w:hint="eastAsia" w:ascii="仿宋" w:hAnsi="仿宋" w:eastAsia="仿宋" w:cs="仿宋"/>
          <w:color w:val="auto"/>
          <w:sz w:val="24"/>
          <w:highlight w:val="none"/>
        </w:rPr>
        <w:t>2.每生每学年限报1项竞赛奖且与专业相关；同一个竞赛多次获奖仅可使用其中1个；</w:t>
      </w:r>
    </w:p>
    <w:p>
      <w:pPr>
        <w:spacing w:line="560" w:lineRule="exact"/>
        <w:ind w:firstLine="630"/>
        <w:rPr>
          <w:rFonts w:ascii="仿宋" w:hAnsi="仿宋" w:eastAsia="仿宋" w:cs="仿宋"/>
          <w:color w:val="auto"/>
          <w:sz w:val="24"/>
          <w:highlight w:val="none"/>
        </w:rPr>
      </w:pPr>
      <w:r>
        <w:rPr>
          <w:rFonts w:hint="eastAsia" w:ascii="仿宋" w:hAnsi="仿宋" w:eastAsia="仿宋" w:cs="仿宋"/>
          <w:color w:val="auto"/>
          <w:sz w:val="24"/>
          <w:highlight w:val="none"/>
        </w:rPr>
        <w:t>3.竞赛项目及级别以学校认定为标准，未被学校认定的竞赛项目需提前报备至学院，由学院对竞赛项目进行评估及界定，竞赛项目评估及界定结果在公示后生效。未在学院报备的竞赛项目（学校未认定）一律不予认定。</w:t>
      </w:r>
    </w:p>
    <w:p>
      <w:pPr>
        <w:spacing w:line="560" w:lineRule="exact"/>
        <w:ind w:firstLine="630"/>
        <w:rPr>
          <w:rFonts w:ascii="仿宋" w:hAnsi="仿宋" w:eastAsia="仿宋" w:cs="仿宋"/>
          <w:b/>
          <w:bCs/>
          <w:color w:val="auto"/>
          <w:sz w:val="24"/>
          <w:highlight w:val="none"/>
        </w:rPr>
      </w:pPr>
      <w:r>
        <w:rPr>
          <w:rFonts w:hint="eastAsia" w:ascii="仿宋" w:hAnsi="仿宋" w:eastAsia="仿宋" w:cs="仿宋"/>
          <w:b/>
          <w:bCs/>
          <w:color w:val="auto"/>
          <w:sz w:val="24"/>
          <w:highlight w:val="none"/>
        </w:rPr>
        <w:t>（三）思想品德及文体活动</w:t>
      </w:r>
    </w:p>
    <w:p>
      <w:pPr>
        <w:spacing w:line="560" w:lineRule="exact"/>
        <w:ind w:firstLine="630"/>
        <w:rPr>
          <w:rFonts w:ascii="仿宋" w:hAnsi="仿宋" w:eastAsia="仿宋" w:cs="仿宋"/>
          <w:b/>
          <w:bCs/>
          <w:color w:val="auto"/>
          <w:sz w:val="24"/>
          <w:szCs w:val="32"/>
          <w:highlight w:val="none"/>
        </w:rPr>
      </w:pPr>
      <w:r>
        <w:rPr>
          <w:rFonts w:hint="eastAsia" w:ascii="仿宋" w:hAnsi="仿宋" w:eastAsia="仿宋" w:cs="仿宋"/>
          <w:b/>
          <w:bCs/>
          <w:color w:val="auto"/>
          <w:sz w:val="24"/>
          <w:szCs w:val="32"/>
          <w:highlight w:val="none"/>
        </w:rPr>
        <w:t>（1）日常活动</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基础分0.5，每次加0.1分，最高加至1.0分。</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注：1.出席常规例行会议、活动及研究生获取学位所需学术报告不加分，但缺席活动者需以正当理由向学院提出书面请假，无故缺席者每次扣0.1分。</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2.对于加分活动，需由组织者向学院提出书面申请，经学院批准备案后方可生效。</w:t>
      </w:r>
    </w:p>
    <w:p>
      <w:pPr>
        <w:spacing w:line="560" w:lineRule="exact"/>
        <w:ind w:firstLine="630"/>
        <w:rPr>
          <w:rFonts w:ascii="仿宋" w:hAnsi="仿宋" w:eastAsia="仿宋" w:cs="仿宋"/>
          <w:b/>
          <w:bCs/>
          <w:color w:val="auto"/>
          <w:sz w:val="24"/>
          <w:szCs w:val="32"/>
          <w:highlight w:val="none"/>
        </w:rPr>
      </w:pPr>
      <w:r>
        <w:rPr>
          <w:rFonts w:hint="eastAsia" w:ascii="仿宋" w:hAnsi="仿宋" w:eastAsia="仿宋" w:cs="仿宋"/>
          <w:b/>
          <w:bCs/>
          <w:color w:val="auto"/>
          <w:sz w:val="24"/>
          <w:szCs w:val="32"/>
          <w:highlight w:val="none"/>
        </w:rPr>
        <w:t>（2）文体活动获奖</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获国家级一等奖积6分；国家级二等奖积4分；国家级三等奖或优秀奖积3分；</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获省级一等奖积4分；省级二等奖积3分；省级三等奖或优秀奖积2分。</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注：1.集体项目在上述量化分值上除人数；</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2.每次申请限报1项文体活动竞赛加分。</w:t>
      </w:r>
    </w:p>
    <w:p>
      <w:pPr>
        <w:spacing w:line="560" w:lineRule="exact"/>
        <w:ind w:firstLine="630"/>
        <w:rPr>
          <w:rFonts w:ascii="仿宋" w:hAnsi="仿宋" w:eastAsia="仿宋" w:cs="仿宋"/>
          <w:b/>
          <w:bCs/>
          <w:color w:val="auto"/>
          <w:sz w:val="24"/>
          <w:szCs w:val="32"/>
          <w:highlight w:val="none"/>
        </w:rPr>
      </w:pPr>
      <w:r>
        <w:rPr>
          <w:rFonts w:hint="eastAsia" w:ascii="仿宋" w:hAnsi="仿宋" w:eastAsia="仿宋" w:cs="仿宋"/>
          <w:b/>
          <w:bCs/>
          <w:color w:val="auto"/>
          <w:sz w:val="24"/>
          <w:szCs w:val="32"/>
          <w:highlight w:val="none"/>
        </w:rPr>
        <w:t>（四）社会实践</w:t>
      </w:r>
    </w:p>
    <w:p>
      <w:pPr>
        <w:spacing w:line="560" w:lineRule="exact"/>
        <w:ind w:firstLine="630"/>
        <w:rPr>
          <w:rFonts w:ascii="仿宋" w:hAnsi="仿宋" w:eastAsia="仿宋" w:cs="仿宋"/>
          <w:b/>
          <w:bCs/>
          <w:color w:val="auto"/>
          <w:sz w:val="24"/>
          <w:szCs w:val="32"/>
          <w:highlight w:val="none"/>
        </w:rPr>
      </w:pPr>
      <w:r>
        <w:rPr>
          <w:rFonts w:hint="eastAsia" w:ascii="仿宋" w:hAnsi="仿宋" w:eastAsia="仿宋" w:cs="仿宋"/>
          <w:b/>
          <w:bCs/>
          <w:color w:val="auto"/>
          <w:sz w:val="24"/>
          <w:szCs w:val="32"/>
          <w:highlight w:val="none"/>
        </w:rPr>
        <w:t>（1）担任研究生学生干部加分</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（a）班级委员会：班长积0.5分，团支书积0.4分，学习委员积0.4分，生活委员积0.4分，寝室长0.2分。</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（b）党支部委员会：党支部书记积0.5分，支部委员积0.3分。</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（c）校、院研究生会：执行主席积0.5分，主席团成员积0.4分，部长（副部长）积0.3分，部员积0.1分；</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注：1.身兼多职研究生干部得分以最高分计算，不能重复加分；</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2.班级委员会及党支部委员会研究生干部在参评学年中未任满一年者按月折算积分，中途因工作失职被免职者，参评学年不予加分；</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3.校、院研究生会研究生干部参评时按参评学年所任职务加分，未任满一年者按月折算积分；</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4.研究生干部因履行职责不到位造成重大安全事故者，经学院评审领导小组开会讨论，决定是否取消加分或取消评比资格。</w:t>
      </w:r>
    </w:p>
    <w:p>
      <w:pPr>
        <w:spacing w:line="560" w:lineRule="exact"/>
        <w:ind w:firstLine="630"/>
        <w:rPr>
          <w:rFonts w:ascii="仿宋" w:hAnsi="仿宋" w:eastAsia="仿宋" w:cs="仿宋"/>
          <w:b/>
          <w:bCs/>
          <w:color w:val="auto"/>
          <w:sz w:val="24"/>
          <w:szCs w:val="32"/>
          <w:highlight w:val="none"/>
        </w:rPr>
      </w:pPr>
      <w:r>
        <w:rPr>
          <w:rFonts w:hint="eastAsia" w:ascii="仿宋" w:hAnsi="仿宋" w:eastAsia="仿宋" w:cs="仿宋"/>
          <w:b/>
          <w:bCs/>
          <w:color w:val="auto"/>
          <w:sz w:val="24"/>
          <w:szCs w:val="32"/>
          <w:highlight w:val="none"/>
        </w:rPr>
        <w:t>（2）担任助教、助管、兼职辅导员加分</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有学院和学生处或其他学校职能部门等共同审批手续，且担任助教、助管岗位的研究生可加0.3分，担任学院兼职辅导员的研究生可加0.5分。</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注：限当年有效；担任助教、助管、兼职辅导员岗位的研究生若中途离岗，则视情节折算积分或不积分。</w:t>
      </w:r>
    </w:p>
    <w:p>
      <w:pPr>
        <w:spacing w:line="560" w:lineRule="exact"/>
        <w:ind w:firstLine="630"/>
        <w:rPr>
          <w:rFonts w:ascii="仿宋" w:hAnsi="仿宋" w:eastAsia="仿宋" w:cs="仿宋"/>
          <w:b/>
          <w:bCs/>
          <w:color w:val="auto"/>
          <w:sz w:val="24"/>
          <w:szCs w:val="32"/>
          <w:highlight w:val="none"/>
        </w:rPr>
      </w:pPr>
      <w:r>
        <w:rPr>
          <w:rFonts w:hint="eastAsia" w:ascii="仿宋" w:hAnsi="仿宋" w:eastAsia="仿宋" w:cs="仿宋"/>
          <w:b/>
          <w:bCs/>
          <w:color w:val="auto"/>
          <w:sz w:val="24"/>
          <w:szCs w:val="32"/>
          <w:highlight w:val="none"/>
        </w:rPr>
        <w:t>（3）参加公派社会实践活动加分</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以学校、学院的名义对学生进行派出的社会实践每次加0.1分，最高累加到0.2分。</w:t>
      </w:r>
    </w:p>
    <w:p>
      <w:pPr>
        <w:spacing w:line="560" w:lineRule="exact"/>
        <w:ind w:firstLine="630"/>
        <w:rPr>
          <w:rFonts w:ascii="仿宋" w:hAnsi="仿宋" w:eastAsia="仿宋" w:cs="仿宋"/>
          <w:b/>
          <w:bCs/>
          <w:color w:val="auto"/>
          <w:sz w:val="24"/>
          <w:szCs w:val="32"/>
          <w:highlight w:val="none"/>
        </w:rPr>
      </w:pPr>
      <w:r>
        <w:rPr>
          <w:rFonts w:hint="eastAsia" w:ascii="仿宋" w:hAnsi="仿宋" w:eastAsia="仿宋" w:cs="仿宋"/>
          <w:color w:val="auto"/>
          <w:sz w:val="24"/>
          <w:szCs w:val="32"/>
          <w:highlight w:val="none"/>
        </w:rPr>
        <w:t>注：参加公派社会实践的学生，须在每年9月30日之前，将相关佐证材料交至辅导员老师处备案，无备案者，不予加分。</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b/>
          <w:bCs/>
          <w:color w:val="auto"/>
          <w:sz w:val="24"/>
          <w:szCs w:val="32"/>
          <w:highlight w:val="none"/>
        </w:rPr>
        <w:t xml:space="preserve">第十四条 </w:t>
      </w:r>
      <w:r>
        <w:rPr>
          <w:rFonts w:hint="eastAsia" w:ascii="仿宋" w:hAnsi="仿宋" w:eastAsia="仿宋" w:cs="仿宋"/>
          <w:color w:val="auto"/>
          <w:sz w:val="24"/>
          <w:szCs w:val="32"/>
          <w:highlight w:val="none"/>
        </w:rPr>
        <w:t>科研立项成果、科研获奖成果、发表论文成果、获得专利成果、科技竞赛成果、思想品德及文体活动成果和社会实践成果必须分别在硕士参评学年期间或博士参评学年期间获得。</w:t>
      </w:r>
    </w:p>
    <w:p>
      <w:pPr>
        <w:spacing w:line="560" w:lineRule="exact"/>
        <w:jc w:val="center"/>
        <w:rPr>
          <w:rFonts w:ascii="仿宋" w:hAnsi="仿宋" w:eastAsia="仿宋" w:cs="仿宋"/>
          <w:b/>
          <w:bCs/>
          <w:color w:val="auto"/>
          <w:sz w:val="24"/>
          <w:szCs w:val="32"/>
          <w:highlight w:val="none"/>
        </w:rPr>
      </w:pPr>
      <w:r>
        <w:rPr>
          <w:rFonts w:hint="eastAsia" w:ascii="黑体" w:hAnsi="黑体" w:eastAsia="黑体" w:cs="黑体"/>
          <w:color w:val="auto"/>
          <w:sz w:val="28"/>
          <w:szCs w:val="36"/>
          <w:highlight w:val="none"/>
        </w:rPr>
        <w:t>第五章 附  则</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b/>
          <w:bCs/>
          <w:color w:val="auto"/>
          <w:sz w:val="24"/>
          <w:szCs w:val="32"/>
          <w:highlight w:val="none"/>
        </w:rPr>
        <w:t>第十五条</w:t>
      </w:r>
      <w:r>
        <w:rPr>
          <w:rFonts w:hint="eastAsia" w:ascii="仿宋" w:hAnsi="仿宋" w:eastAsia="仿宋" w:cs="仿宋"/>
          <w:color w:val="auto"/>
          <w:sz w:val="24"/>
          <w:szCs w:val="32"/>
          <w:highlight w:val="none"/>
        </w:rPr>
        <w:t xml:space="preserve"> 硕博连读研究生参评身份根据当年所修课程的层次阶段确定，在选修硕士研究生课程阶段，按照硕士研究生身份参与评定；在选修博士研究生课程阶段，按照博士研究生身份参与评定。</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b/>
          <w:bCs/>
          <w:color w:val="auto"/>
          <w:sz w:val="24"/>
          <w:szCs w:val="32"/>
          <w:highlight w:val="none"/>
        </w:rPr>
        <w:t>第十六条</w:t>
      </w:r>
      <w:r>
        <w:rPr>
          <w:rFonts w:hint="eastAsia" w:ascii="仿宋" w:hAnsi="仿宋" w:eastAsia="仿宋" w:cs="仿宋"/>
          <w:color w:val="auto"/>
          <w:sz w:val="24"/>
          <w:szCs w:val="32"/>
          <w:highlight w:val="none"/>
        </w:rPr>
        <w:t xml:space="preserve"> 2021 级起（含 2021 级）通过硕博连读或提前毕业申请考核攻读博士的学生不可兼得博士和硕士学业奖学金。</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b/>
          <w:bCs/>
          <w:color w:val="auto"/>
          <w:sz w:val="24"/>
          <w:szCs w:val="32"/>
          <w:highlight w:val="none"/>
        </w:rPr>
        <w:t>第十七条</w:t>
      </w:r>
      <w:r>
        <w:rPr>
          <w:rFonts w:hint="eastAsia" w:ascii="仿宋" w:hAnsi="仿宋" w:eastAsia="仿宋" w:cs="仿宋"/>
          <w:color w:val="auto"/>
          <w:sz w:val="24"/>
          <w:szCs w:val="32"/>
          <w:highlight w:val="none"/>
        </w:rPr>
        <w:t xml:space="preserve"> 获得研究生学业奖学金奖励的研究生，可以同时获得研究生国家奖学金、研究生国家助学金等其他研究生国家奖助政策以及校内其他研究生奖助政策资助（学业助学金除外）。</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b/>
          <w:bCs/>
          <w:color w:val="auto"/>
          <w:sz w:val="24"/>
          <w:szCs w:val="32"/>
          <w:highlight w:val="none"/>
        </w:rPr>
        <w:t>第十八条</w:t>
      </w:r>
      <w:r>
        <w:rPr>
          <w:rFonts w:hint="eastAsia" w:ascii="仿宋" w:hAnsi="仿宋" w:eastAsia="仿宋" w:cs="仿宋"/>
          <w:color w:val="auto"/>
          <w:sz w:val="24"/>
          <w:szCs w:val="32"/>
          <w:highlight w:val="none"/>
        </w:rPr>
        <w:t xml:space="preserve"> 在正常学制期限内，因国家和单位公派出国留学或校际交流在境外学习的研究生，具备研究生学业奖学金参评资格。</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b/>
          <w:bCs/>
          <w:color w:val="auto"/>
          <w:sz w:val="24"/>
          <w:szCs w:val="32"/>
          <w:highlight w:val="none"/>
        </w:rPr>
        <w:t xml:space="preserve">第十九条 </w:t>
      </w:r>
      <w:r>
        <w:rPr>
          <w:rFonts w:hint="eastAsia" w:ascii="仿宋" w:hAnsi="仿宋" w:eastAsia="仿宋" w:cs="仿宋"/>
          <w:color w:val="auto"/>
          <w:sz w:val="24"/>
          <w:szCs w:val="32"/>
          <w:highlight w:val="none"/>
        </w:rPr>
        <w:t>在攻读博士或硕士期间可重复获奖，第二次申请学业奖学金时，前一次获奖申报用过成果清零，不得再用。</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b/>
          <w:bCs/>
          <w:color w:val="auto"/>
          <w:sz w:val="24"/>
          <w:szCs w:val="32"/>
          <w:highlight w:val="none"/>
        </w:rPr>
        <w:t>第二十条</w:t>
      </w:r>
      <w:r>
        <w:rPr>
          <w:rFonts w:hint="eastAsia" w:ascii="仿宋" w:hAnsi="仿宋" w:eastAsia="仿宋" w:cs="仿宋"/>
          <w:color w:val="auto"/>
          <w:sz w:val="24"/>
          <w:szCs w:val="32"/>
          <w:highlight w:val="none"/>
        </w:rPr>
        <w:t xml:space="preserve"> 综合量化评价分值相同的优先级规定</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（一）研究生期间课程成绩高者优先；</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（二）学生干部优先；当同为学生干部或普通</w:t>
      </w:r>
      <w:bookmarkStart w:id="1" w:name="_GoBack"/>
      <w:bookmarkEnd w:id="1"/>
      <w:r>
        <w:rPr>
          <w:rFonts w:hint="eastAsia" w:ascii="仿宋" w:hAnsi="仿宋" w:eastAsia="仿宋" w:cs="仿宋"/>
          <w:color w:val="auto"/>
          <w:sz w:val="24"/>
          <w:szCs w:val="32"/>
          <w:highlight w:val="none"/>
        </w:rPr>
        <w:t>学生时，以学院研究生奖学金评审委员会投票方式确定获奖者。</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b/>
          <w:bCs/>
          <w:color w:val="auto"/>
          <w:sz w:val="24"/>
          <w:szCs w:val="32"/>
          <w:highlight w:val="none"/>
        </w:rPr>
        <w:t xml:space="preserve">第二十一条 </w:t>
      </w:r>
      <w:r>
        <w:rPr>
          <w:rFonts w:hint="eastAsia" w:ascii="仿宋" w:hAnsi="仿宋" w:eastAsia="仿宋" w:cs="仿宋"/>
          <w:color w:val="auto"/>
          <w:sz w:val="24"/>
          <w:szCs w:val="32"/>
          <w:highlight w:val="none"/>
        </w:rPr>
        <w:t>研究生学业奖学金申报者，提供成果佐证材料包括：科研项目立项证书、科研获奖、学术论文及相关检索证明、授权专利证书或授权公告证明、实质审查请求生效公告证明、科技大赛获奖证书、外语成绩单、研究生期间课程成绩单、文体活动获奖证书、盖部门公章的学生组织任职证明等原件和复印件各1份，审核后原件退还。</w:t>
      </w:r>
    </w:p>
    <w:p>
      <w:pPr>
        <w:spacing w:line="560" w:lineRule="exact"/>
        <w:ind w:firstLine="630"/>
        <w:rPr>
          <w:rFonts w:ascii="仿宋" w:hAnsi="仿宋" w:eastAsia="仿宋" w:cs="仿宋"/>
          <w:color w:val="auto"/>
          <w:sz w:val="24"/>
          <w:highlight w:val="none"/>
        </w:rPr>
      </w:pPr>
      <w:r>
        <w:rPr>
          <w:rFonts w:hint="eastAsia" w:ascii="仿宋" w:hAnsi="仿宋" w:eastAsia="仿宋" w:cs="仿宋"/>
          <w:b/>
          <w:bCs/>
          <w:color w:val="auto"/>
          <w:sz w:val="24"/>
          <w:szCs w:val="32"/>
          <w:highlight w:val="none"/>
        </w:rPr>
        <w:t xml:space="preserve">第二十二条 </w:t>
      </w:r>
      <w:r>
        <w:rPr>
          <w:rFonts w:hint="eastAsia" w:ascii="仿宋" w:hAnsi="仿宋" w:eastAsia="仿宋" w:cs="仿宋"/>
          <w:color w:val="auto"/>
          <w:sz w:val="24"/>
          <w:highlight w:val="none"/>
        </w:rPr>
        <w:t>未尽事宜，由学院研究生学业奖学金评审委员会讨论解决并进行补充说明。</w:t>
      </w:r>
    </w:p>
    <w:p>
      <w:pPr>
        <w:spacing w:line="560" w:lineRule="exact"/>
        <w:ind w:firstLine="630"/>
        <w:rPr>
          <w:rFonts w:ascii="仿宋" w:hAnsi="仿宋" w:eastAsia="仿宋" w:cs="仿宋"/>
          <w:sz w:val="24"/>
        </w:rPr>
      </w:pPr>
      <w:r>
        <w:rPr>
          <w:rFonts w:hint="eastAsia" w:ascii="仿宋" w:hAnsi="仿宋" w:eastAsia="仿宋" w:cs="仿宋"/>
          <w:b/>
          <w:bCs/>
          <w:color w:val="auto"/>
          <w:sz w:val="24"/>
          <w:highlight w:val="none"/>
        </w:rPr>
        <w:t>第二十三条</w:t>
      </w:r>
      <w:r>
        <w:rPr>
          <w:rFonts w:hint="eastAsia" w:ascii="仿宋" w:hAnsi="仿宋" w:eastAsia="仿宋" w:cs="仿宋"/>
          <w:color w:val="auto"/>
          <w:sz w:val="24"/>
          <w:highlight w:val="none"/>
        </w:rPr>
        <w:t xml:space="preserve"> 本办法自发布之日起施行，学院研究生学业奖学金评</w:t>
      </w:r>
      <w:r>
        <w:rPr>
          <w:rFonts w:hint="eastAsia" w:ascii="仿宋" w:hAnsi="仿宋" w:eastAsia="仿宋" w:cs="仿宋"/>
          <w:sz w:val="24"/>
        </w:rPr>
        <w:t>审委员会负责解释。</w:t>
      </w:r>
    </w:p>
    <w:p>
      <w:pPr>
        <w:spacing w:line="560" w:lineRule="exact"/>
        <w:rPr>
          <w:rFonts w:ascii="仿宋" w:hAnsi="仿宋" w:eastAsia="仿宋" w:cs="仿宋"/>
          <w:sz w:val="24"/>
        </w:rPr>
      </w:pPr>
    </w:p>
    <w:p>
      <w:pPr>
        <w:spacing w:line="560" w:lineRule="exact"/>
        <w:ind w:firstLine="630"/>
        <w:jc w:val="right"/>
        <w:rPr>
          <w:rFonts w:ascii="仿宋" w:hAnsi="仿宋" w:eastAsia="仿宋" w:cs="仿宋"/>
          <w:sz w:val="24"/>
        </w:rPr>
      </w:pPr>
      <w:r>
        <w:rPr>
          <w:rFonts w:hint="eastAsia" w:ascii="仿宋" w:hAnsi="仿宋" w:eastAsia="仿宋" w:cs="仿宋"/>
          <w:sz w:val="24"/>
        </w:rPr>
        <w:t>哈尔滨理工大学电气与电子工程学院</w:t>
      </w:r>
    </w:p>
    <w:p>
      <w:pPr>
        <w:spacing w:line="560" w:lineRule="exact"/>
        <w:ind w:firstLine="630"/>
        <w:jc w:val="right"/>
        <w:rPr>
          <w:rFonts w:ascii="仿宋" w:hAnsi="仿宋" w:eastAsia="仿宋" w:cs="仿宋"/>
          <w:sz w:val="24"/>
        </w:rPr>
      </w:pPr>
      <w:r>
        <w:rPr>
          <w:rFonts w:hint="eastAsia" w:ascii="仿宋" w:hAnsi="仿宋" w:eastAsia="仿宋" w:cs="仿宋"/>
          <w:sz w:val="24"/>
        </w:rPr>
        <w:t>2021年12月24日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C837DAF-290C-4A9E-8954-6C131C7CEF6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公文小标宋">
    <w:panose1 w:val="02000500000000000000"/>
    <w:charset w:val="86"/>
    <w:family w:val="auto"/>
    <w:pitch w:val="default"/>
    <w:sig w:usb0="A00002BF" w:usb1="38CF7CFA" w:usb2="00000016" w:usb3="00000000" w:csb0="00040001" w:csb1="00000000"/>
    <w:embedRegular r:id="rId2" w:fontKey="{42010C59-DF5D-471B-A6D1-4646F80A8BA2}"/>
  </w:font>
  <w:font w:name="仿宋">
    <w:panose1 w:val="02010609060101010101"/>
    <w:charset w:val="86"/>
    <w:family w:val="modern"/>
    <w:pitch w:val="default"/>
    <w:sig w:usb0="800002BF" w:usb1="38CF7CFA" w:usb2="00000016" w:usb3="00000000" w:csb0="00040001" w:csb1="00000000"/>
    <w:embedRegular r:id="rId3" w:fontKey="{CB295995-5122-49F3-AC75-E2EF33AFF67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CC098BE"/>
    <w:multiLevelType w:val="singleLevel"/>
    <w:tmpl w:val="7CC098BE"/>
    <w:lvl w:ilvl="0" w:tentative="0">
      <w:start w:val="1"/>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5B0"/>
    <w:rsid w:val="000425B0"/>
    <w:rsid w:val="00054FD0"/>
    <w:rsid w:val="001F05F5"/>
    <w:rsid w:val="00244F1C"/>
    <w:rsid w:val="0053646E"/>
    <w:rsid w:val="00F53908"/>
    <w:rsid w:val="089100E1"/>
    <w:rsid w:val="0C002A69"/>
    <w:rsid w:val="1E8364F3"/>
    <w:rsid w:val="2BAD2724"/>
    <w:rsid w:val="2C1F32C5"/>
    <w:rsid w:val="4043768E"/>
    <w:rsid w:val="50203519"/>
    <w:rsid w:val="5CF85F9D"/>
    <w:rsid w:val="7BAB0F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uiPriority w:val="0"/>
    <w:rPr>
      <w:rFonts w:asciiTheme="minorHAnsi" w:hAnsiTheme="minorHAnsi" w:eastAsiaTheme="minorEastAsia" w:cstheme="minorBidi"/>
      <w:kern w:val="2"/>
      <w:sz w:val="18"/>
      <w:szCs w:val="18"/>
    </w:rPr>
  </w:style>
  <w:style w:type="character" w:customStyle="1" w:styleId="8">
    <w:name w:val="页脚 字符"/>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910</Words>
  <Characters>5189</Characters>
  <Lines>43</Lines>
  <Paragraphs>12</Paragraphs>
  <TotalTime>1</TotalTime>
  <ScaleCrop>false</ScaleCrop>
  <LinksUpToDate>false</LinksUpToDate>
  <CharactersWithSpaces>6087</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2021-12-23T00:06:00Z</dcterms:created>
  <dc:creator>ZuS</dc:creator>
  <cp:lastModifiedBy>Юра</cp:lastModifiedBy>
  <cp:lastPrinted>2021-12-23T18:33:00Z</cp:lastPrinted>
  <dcterms:modified xsi:type="dcterms:W3CDTF">2021-12-24T06:09:45Z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33EA947138414B269CD8A024A1AE6056</vt:lpwstr>
  </property>
</Properties>
</file>