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EFF"/>
        <w:spacing w:line="300" w:lineRule="auto"/>
        <w:jc w:val="center"/>
        <w:textAlignment w:val="top"/>
        <w:rPr>
          <w:rFonts w:hint="eastAsia" w:ascii="黑体" w:hAnsi="黑体" w:eastAsia="黑体" w:cs="Arial"/>
          <w:b/>
          <w:color w:val="000000"/>
          <w:kern w:val="0"/>
          <w:sz w:val="44"/>
          <w:szCs w:val="44"/>
          <w:lang w:eastAsia="zh-CN"/>
        </w:rPr>
      </w:pPr>
      <w:r>
        <w:rPr>
          <w:rFonts w:hint="eastAsia" w:ascii="黑体" w:hAnsi="黑体" w:eastAsia="黑体"/>
          <w:b/>
          <w:sz w:val="44"/>
          <w:szCs w:val="44"/>
        </w:rPr>
        <w:t>理学院</w:t>
      </w:r>
      <w:r>
        <w:rPr>
          <w:rFonts w:hint="eastAsia" w:ascii="黑体" w:hAnsi="黑体" w:eastAsia="黑体" w:cs="Arial"/>
          <w:b/>
          <w:color w:val="000000"/>
          <w:kern w:val="0"/>
          <w:sz w:val="44"/>
          <w:szCs w:val="44"/>
        </w:rPr>
        <w:t>研究生</w:t>
      </w:r>
      <w:r>
        <w:rPr>
          <w:rFonts w:hint="eastAsia" w:ascii="黑体" w:hAnsi="黑体" w:eastAsia="黑体" w:cs="Arial"/>
          <w:b/>
          <w:color w:val="000000"/>
          <w:kern w:val="0"/>
          <w:sz w:val="44"/>
          <w:szCs w:val="44"/>
          <w:lang w:eastAsia="zh-CN"/>
        </w:rPr>
        <w:t>学业奖学金学业助学金</w:t>
      </w:r>
    </w:p>
    <w:p>
      <w:pPr>
        <w:widowControl/>
        <w:shd w:val="clear" w:color="auto" w:fill="FFFEFF"/>
        <w:spacing w:line="300" w:lineRule="auto"/>
        <w:jc w:val="center"/>
        <w:textAlignment w:val="top"/>
        <w:rPr>
          <w:rFonts w:hint="eastAsia" w:ascii="黑体" w:hAnsi="黑体" w:eastAsia="黑体" w:cs="Arial"/>
          <w:b/>
          <w:color w:val="000000"/>
          <w:kern w:val="0"/>
          <w:sz w:val="44"/>
          <w:szCs w:val="44"/>
          <w:lang w:eastAsia="zh-CN"/>
        </w:rPr>
      </w:pPr>
      <w:r>
        <w:rPr>
          <w:rFonts w:hint="eastAsia" w:ascii="黑体" w:hAnsi="黑体" w:eastAsia="黑体" w:cs="Arial"/>
          <w:b/>
          <w:color w:val="000000"/>
          <w:kern w:val="0"/>
          <w:sz w:val="44"/>
          <w:szCs w:val="44"/>
        </w:rPr>
        <w:t>评审实施细则</w:t>
      </w:r>
    </w:p>
    <w:p>
      <w:pPr>
        <w:widowControl/>
        <w:shd w:val="clear" w:color="auto" w:fill="FFFEFF"/>
        <w:spacing w:line="300" w:lineRule="auto"/>
        <w:ind w:firstLine="480" w:firstLineChars="200"/>
        <w:jc w:val="left"/>
        <w:textAlignment w:val="top"/>
        <w:rPr>
          <w:rFonts w:hint="eastAsia" w:ascii="宋体" w:hAnsi="宋体" w:cs="Arial"/>
          <w:bCs/>
          <w:color w:val="000000"/>
          <w:kern w:val="0"/>
          <w:sz w:val="24"/>
        </w:rPr>
      </w:pPr>
    </w:p>
    <w:p>
      <w:pPr>
        <w:widowControl/>
        <w:numPr>
          <w:ilvl w:val="0"/>
          <w:numId w:val="1"/>
        </w:numPr>
        <w:shd w:val="clear" w:color="auto" w:fill="FFFEFF"/>
        <w:spacing w:before="156" w:beforeLines="50"/>
        <w:ind w:firstLine="640" w:firstLineChars="200"/>
        <w:textAlignment w:val="top"/>
        <w:rPr>
          <w:rFonts w:hint="eastAsia" w:ascii="宋体" w:hAnsi="宋体" w:cs="Arial"/>
          <w:kern w:val="0"/>
          <w:sz w:val="32"/>
          <w:szCs w:val="32"/>
        </w:rPr>
      </w:pPr>
      <w:r>
        <w:rPr>
          <w:rFonts w:hint="eastAsia" w:ascii="宋体" w:hAnsi="宋体" w:cs="Arial"/>
          <w:kern w:val="0"/>
          <w:sz w:val="32"/>
          <w:szCs w:val="32"/>
        </w:rPr>
        <w:t>研究生</w:t>
      </w:r>
      <w:r>
        <w:rPr>
          <w:rFonts w:hint="eastAsia" w:ascii="宋体" w:hAnsi="宋体" w:cs="Arial"/>
          <w:kern w:val="0"/>
          <w:sz w:val="32"/>
          <w:szCs w:val="32"/>
          <w:lang w:eastAsia="zh-CN"/>
        </w:rPr>
        <w:t>学业奖学金学业助学金</w:t>
      </w:r>
      <w:r>
        <w:rPr>
          <w:rFonts w:hint="eastAsia" w:ascii="宋体" w:hAnsi="宋体" w:cs="Arial"/>
          <w:kern w:val="0"/>
          <w:sz w:val="32"/>
          <w:szCs w:val="32"/>
        </w:rPr>
        <w:t>，用于激励研究生勤奋学习、潜心科研、寻优勇进、亦能亦德，在全面实行研究生教育收费制度的情况下更好地支持研究生顺利完成学业。</w:t>
      </w:r>
    </w:p>
    <w:p>
      <w:pPr>
        <w:widowControl/>
        <w:numPr>
          <w:ilvl w:val="0"/>
          <w:numId w:val="1"/>
        </w:numPr>
        <w:shd w:val="clear" w:color="auto" w:fill="FFFEFF"/>
        <w:ind w:left="0" w:leftChars="0" w:firstLine="640" w:firstLineChars="200"/>
        <w:textAlignment w:val="top"/>
        <w:rPr>
          <w:rFonts w:hint="eastAsia" w:ascii="宋体" w:hAnsi="宋体" w:cs="Arial"/>
          <w:kern w:val="0"/>
          <w:sz w:val="32"/>
          <w:szCs w:val="32"/>
        </w:rPr>
      </w:pPr>
      <w:r>
        <w:rPr>
          <w:rFonts w:hint="eastAsia" w:ascii="宋体" w:hAnsi="宋体" w:cs="Arial"/>
          <w:kern w:val="0"/>
          <w:sz w:val="32"/>
          <w:szCs w:val="32"/>
        </w:rPr>
        <w:t>本细则所称研究生是指纳入全国研究生招生计划的</w:t>
      </w:r>
      <w:r>
        <w:rPr>
          <w:rFonts w:hint="eastAsia" w:ascii="宋体" w:hAnsi="宋体" w:cs="Arial"/>
          <w:kern w:val="0"/>
          <w:sz w:val="32"/>
          <w:szCs w:val="32"/>
          <w:lang w:eastAsia="zh-CN"/>
        </w:rPr>
        <w:t>正常学制范围内</w:t>
      </w:r>
      <w:r>
        <w:rPr>
          <w:rFonts w:hint="eastAsia" w:ascii="宋体" w:hAnsi="宋体" w:cs="Arial"/>
          <w:kern w:val="0"/>
          <w:sz w:val="32"/>
          <w:szCs w:val="32"/>
        </w:rPr>
        <w:t>全日制非定向研究生。</w:t>
      </w:r>
    </w:p>
    <w:p>
      <w:pPr>
        <w:widowControl/>
        <w:numPr>
          <w:ilvl w:val="0"/>
          <w:numId w:val="1"/>
        </w:numPr>
        <w:shd w:val="clear" w:color="auto" w:fill="FFFEFF"/>
        <w:ind w:left="0" w:leftChars="0" w:firstLine="640" w:firstLineChars="200"/>
        <w:textAlignment w:val="top"/>
        <w:rPr>
          <w:rFonts w:hint="eastAsia" w:ascii="宋体" w:hAnsi="宋体" w:cs="Arial"/>
          <w:kern w:val="0"/>
          <w:sz w:val="32"/>
          <w:szCs w:val="32"/>
        </w:rPr>
      </w:pPr>
      <w:r>
        <w:rPr>
          <w:rFonts w:hint="eastAsia" w:ascii="宋体" w:hAnsi="宋体" w:cs="Arial"/>
          <w:kern w:val="0"/>
          <w:sz w:val="32"/>
          <w:szCs w:val="32"/>
        </w:rPr>
        <w:t>研究生学业奖学金</w:t>
      </w:r>
      <w:r>
        <w:rPr>
          <w:rFonts w:hint="eastAsia" w:ascii="宋体" w:hAnsi="宋体" w:cs="Arial"/>
          <w:kern w:val="0"/>
          <w:sz w:val="32"/>
          <w:szCs w:val="32"/>
          <w:lang w:eastAsia="zh-CN"/>
        </w:rPr>
        <w:t>学业助学金</w:t>
      </w:r>
      <w:r>
        <w:rPr>
          <w:rFonts w:hint="eastAsia" w:ascii="宋体" w:hAnsi="宋体" w:cs="Arial"/>
          <w:kern w:val="0"/>
          <w:sz w:val="32"/>
          <w:szCs w:val="32"/>
        </w:rPr>
        <w:t>评审工作坚持公开、公平</w:t>
      </w:r>
      <w:r>
        <w:rPr>
          <w:rFonts w:hint="eastAsia" w:ascii="宋体" w:hAnsi="宋体" w:cs="Arial"/>
          <w:kern w:val="0"/>
          <w:sz w:val="32"/>
          <w:szCs w:val="32"/>
          <w:lang w:eastAsia="zh-CN"/>
        </w:rPr>
        <w:t>、</w:t>
      </w:r>
      <w:r>
        <w:rPr>
          <w:rFonts w:hint="eastAsia" w:ascii="宋体" w:hAnsi="宋体" w:cs="Arial"/>
          <w:kern w:val="0"/>
          <w:sz w:val="32"/>
          <w:szCs w:val="32"/>
        </w:rPr>
        <w:t>公正、择优的原则，坚持思想品德是第一标准原则，突出质量导向，推行代表性成果评议机制</w:t>
      </w:r>
      <w:r>
        <w:rPr>
          <w:rFonts w:hint="eastAsia" w:ascii="宋体" w:hAnsi="宋体" w:cs="Arial"/>
          <w:kern w:val="0"/>
          <w:sz w:val="32"/>
          <w:szCs w:val="32"/>
          <w:lang w:eastAsia="zh-CN"/>
        </w:rPr>
        <w:t>。</w:t>
      </w:r>
    </w:p>
    <w:p>
      <w:pPr>
        <w:ind w:firstLine="640" w:firstLineChars="200"/>
        <w:rPr>
          <w:rFonts w:hint="eastAsia" w:ascii="宋体" w:hAnsi="宋体" w:eastAsia="宋体" w:cs="Times New Roman"/>
          <w:bCs/>
          <w:kern w:val="0"/>
          <w:sz w:val="32"/>
          <w:szCs w:val="32"/>
          <w:lang w:val="en-US" w:eastAsia="zh-CN"/>
        </w:rPr>
      </w:pPr>
      <w:r>
        <w:rPr>
          <w:rFonts w:hint="eastAsia" w:ascii="宋体" w:hAnsi="宋体" w:eastAsia="宋体" w:cs="Times New Roman"/>
          <w:bCs/>
          <w:kern w:val="0"/>
          <w:sz w:val="32"/>
          <w:szCs w:val="32"/>
          <w:lang w:eastAsia="zh-CN"/>
        </w:rPr>
        <w:t>第四条</w:t>
      </w:r>
      <w:r>
        <w:rPr>
          <w:rFonts w:hint="eastAsia" w:ascii="宋体" w:hAnsi="宋体" w:eastAsia="宋体" w:cs="Times New Roman"/>
          <w:bCs/>
          <w:kern w:val="0"/>
          <w:sz w:val="32"/>
          <w:szCs w:val="32"/>
          <w:lang w:val="en-US" w:eastAsia="zh-CN"/>
        </w:rPr>
        <w:t xml:space="preserve"> </w:t>
      </w:r>
      <w:r>
        <w:rPr>
          <w:rFonts w:hint="eastAsia" w:ascii="宋体" w:hAnsi="宋体" w:eastAsia="宋体" w:cs="Times New Roman"/>
          <w:bCs/>
          <w:kern w:val="0"/>
          <w:sz w:val="32"/>
          <w:szCs w:val="32"/>
        </w:rPr>
        <w:t>2022级硕</w:t>
      </w:r>
      <w:r>
        <w:rPr>
          <w:rFonts w:hint="eastAsia" w:ascii="宋体" w:hAnsi="宋体" w:cs="Arial"/>
          <w:kern w:val="0"/>
          <w:sz w:val="32"/>
          <w:szCs w:val="32"/>
        </w:rPr>
        <w:t>士一年级</w:t>
      </w:r>
      <w:r>
        <w:rPr>
          <w:rFonts w:hint="eastAsia" w:ascii="宋体" w:hAnsi="宋体" w:cs="Arial"/>
          <w:kern w:val="0"/>
          <w:sz w:val="32"/>
          <w:szCs w:val="32"/>
          <w:lang w:eastAsia="zh-CN"/>
        </w:rPr>
        <w:t>学业</w:t>
      </w:r>
      <w:r>
        <w:rPr>
          <w:rFonts w:hint="eastAsia" w:ascii="宋体" w:hAnsi="宋体" w:cs="Arial"/>
          <w:kern w:val="0"/>
          <w:sz w:val="32"/>
          <w:szCs w:val="32"/>
        </w:rPr>
        <w:t>奖学金</w:t>
      </w:r>
      <w:r>
        <w:rPr>
          <w:rFonts w:hint="eastAsia" w:ascii="宋体" w:hAnsi="宋体" w:cs="Arial"/>
          <w:kern w:val="0"/>
          <w:sz w:val="32"/>
          <w:szCs w:val="32"/>
          <w:lang w:val="en-US" w:eastAsia="zh-CN"/>
        </w:rPr>
        <w:t>按各专业初试和复试总成绩排名确定</w:t>
      </w:r>
      <w:r>
        <w:rPr>
          <w:rFonts w:hint="eastAsia" w:ascii="宋体" w:hAnsi="宋体" w:cs="Arial"/>
          <w:kern w:val="0"/>
          <w:sz w:val="32"/>
          <w:szCs w:val="32"/>
        </w:rPr>
        <w:t>，总分一致的比较初试成绩。一等奖学金每生每年10000</w:t>
      </w:r>
      <w:r>
        <w:rPr>
          <w:rFonts w:hint="eastAsia" w:ascii="宋体" w:hAnsi="宋体" w:eastAsia="宋体" w:cs="Times New Roman"/>
          <w:bCs/>
          <w:kern w:val="0"/>
          <w:sz w:val="32"/>
          <w:szCs w:val="32"/>
        </w:rPr>
        <w:t>元（参评人员为推荐免试研究生），二等奖学金每生每年8000元（参评人</w:t>
      </w:r>
      <w:bookmarkStart w:id="0" w:name="_GoBack"/>
      <w:bookmarkEnd w:id="0"/>
      <w:r>
        <w:rPr>
          <w:rFonts w:hint="eastAsia" w:ascii="宋体" w:hAnsi="宋体" w:eastAsia="宋体" w:cs="Times New Roman"/>
          <w:bCs/>
          <w:kern w:val="0"/>
          <w:sz w:val="32"/>
          <w:szCs w:val="32"/>
        </w:rPr>
        <w:t>员为统考研究生，按各专业方向（以报考代码区分）初试和复试总成绩排名前30%确定）。</w:t>
      </w:r>
      <w:r>
        <w:rPr>
          <w:rFonts w:hint="eastAsia" w:ascii="宋体" w:hAnsi="宋体" w:eastAsia="宋体" w:cs="Times New Roman"/>
          <w:bCs/>
          <w:kern w:val="0"/>
          <w:sz w:val="32"/>
          <w:szCs w:val="32"/>
          <w:lang w:val="en-US" w:eastAsia="zh-CN"/>
        </w:rPr>
        <w:t xml:space="preserve">   </w:t>
      </w:r>
    </w:p>
    <w:p>
      <w:pPr>
        <w:ind w:firstLine="640" w:firstLineChars="200"/>
        <w:rPr>
          <w:rFonts w:hint="eastAsia" w:ascii="宋体" w:hAnsi="宋体" w:eastAsia="宋体" w:cs="Times New Roman"/>
          <w:bCs/>
          <w:kern w:val="0"/>
          <w:sz w:val="32"/>
          <w:szCs w:val="32"/>
        </w:rPr>
      </w:pPr>
      <w:r>
        <w:rPr>
          <w:rFonts w:hint="eastAsia" w:ascii="宋体" w:hAnsi="宋体" w:eastAsia="宋体" w:cs="Times New Roman"/>
          <w:bCs/>
          <w:kern w:val="0"/>
          <w:sz w:val="32"/>
          <w:szCs w:val="32"/>
        </w:rPr>
        <w:t>2022级博士一年级奖学金每生10000元（不超过本年级博士研究生人数）</w:t>
      </w:r>
    </w:p>
    <w:p>
      <w:pPr>
        <w:spacing w:line="360" w:lineRule="auto"/>
        <w:ind w:firstLine="640" w:firstLineChars="200"/>
        <w:rPr>
          <w:rFonts w:hint="eastAsia" w:ascii="宋体" w:hAnsi="宋体" w:cs="Arial"/>
          <w:kern w:val="0"/>
          <w:sz w:val="32"/>
          <w:szCs w:val="32"/>
          <w:lang w:eastAsia="zh-CN"/>
        </w:rPr>
      </w:pPr>
      <w:r>
        <w:rPr>
          <w:rFonts w:hint="eastAsia" w:ascii="宋体" w:hAnsi="宋体" w:cs="Arial"/>
          <w:kern w:val="0"/>
          <w:sz w:val="32"/>
          <w:szCs w:val="32"/>
          <w:lang w:val="en-US" w:eastAsia="zh-CN"/>
        </w:rPr>
        <w:t>第五条 2021级</w:t>
      </w:r>
      <w:r>
        <w:rPr>
          <w:rFonts w:hint="eastAsia" w:ascii="宋体" w:hAnsi="宋体" w:cs="Arial"/>
          <w:kern w:val="0"/>
          <w:sz w:val="32"/>
          <w:szCs w:val="32"/>
        </w:rPr>
        <w:t>研究生学业奖学金</w:t>
      </w:r>
      <w:r>
        <w:rPr>
          <w:rFonts w:hint="eastAsia" w:ascii="宋体" w:hAnsi="宋体" w:cs="Arial"/>
          <w:kern w:val="0"/>
          <w:sz w:val="32"/>
          <w:szCs w:val="32"/>
          <w:lang w:eastAsia="zh-CN"/>
        </w:rPr>
        <w:t>学业助学金</w:t>
      </w:r>
      <w:r>
        <w:rPr>
          <w:rFonts w:hint="eastAsia" w:ascii="宋体" w:hAnsi="宋体" w:cs="Arial"/>
          <w:kern w:val="0"/>
          <w:sz w:val="32"/>
          <w:szCs w:val="32"/>
        </w:rPr>
        <w:t>依</w:t>
      </w:r>
      <w:r>
        <w:rPr>
          <w:rFonts w:hint="eastAsia" w:ascii="宋体" w:hAnsi="宋体" w:cs="Arial"/>
          <w:kern w:val="0"/>
          <w:sz w:val="32"/>
          <w:szCs w:val="32"/>
          <w:lang w:eastAsia="zh-CN"/>
        </w:rPr>
        <w:t>据理学院研究生学业奖学金评审实施细则评定。</w:t>
      </w:r>
      <w:r>
        <w:rPr>
          <w:rFonts w:hint="eastAsia" w:ascii="宋体" w:hAnsi="宋体" w:cs="Arial"/>
          <w:kern w:val="0"/>
          <w:sz w:val="32"/>
          <w:szCs w:val="32"/>
        </w:rPr>
        <w:t>2021级硕士学业奖学金每生每年8000元，以不超过本年级研究生人数的30%差额发放。2021级</w:t>
      </w:r>
      <w:r>
        <w:rPr>
          <w:rFonts w:hint="eastAsia" w:ascii="宋体" w:hAnsi="宋体" w:cs="Arial"/>
          <w:kern w:val="0"/>
          <w:sz w:val="32"/>
          <w:szCs w:val="32"/>
          <w:lang w:eastAsia="zh-CN"/>
        </w:rPr>
        <w:t>博</w:t>
      </w:r>
      <w:r>
        <w:rPr>
          <w:rFonts w:hint="eastAsia" w:ascii="宋体" w:hAnsi="宋体" w:cs="Arial"/>
          <w:kern w:val="0"/>
          <w:sz w:val="32"/>
          <w:szCs w:val="32"/>
        </w:rPr>
        <w:t>士学业奖学金博士</w:t>
      </w:r>
      <w:r>
        <w:rPr>
          <w:rFonts w:hint="eastAsia" w:ascii="宋体" w:hAnsi="宋体" w:cs="Arial"/>
          <w:kern w:val="0"/>
          <w:sz w:val="32"/>
          <w:szCs w:val="32"/>
          <w:lang w:eastAsia="zh-CN"/>
        </w:rPr>
        <w:t>二年级以上（含二年级），一等奖学金每生每年</w:t>
      </w:r>
      <w:r>
        <w:rPr>
          <w:rFonts w:hint="eastAsia" w:ascii="宋体" w:hAnsi="宋体" w:cs="Arial"/>
          <w:kern w:val="0"/>
          <w:sz w:val="32"/>
          <w:szCs w:val="32"/>
          <w:lang w:val="en-US" w:eastAsia="zh-CN"/>
        </w:rPr>
        <w:t>15000</w:t>
      </w:r>
      <w:r>
        <w:rPr>
          <w:rFonts w:hint="eastAsia" w:ascii="宋体" w:hAnsi="宋体" w:cs="Arial"/>
          <w:kern w:val="0"/>
          <w:sz w:val="32"/>
          <w:szCs w:val="32"/>
        </w:rPr>
        <w:t>元</w:t>
      </w:r>
      <w:r>
        <w:rPr>
          <w:rFonts w:hint="eastAsia" w:ascii="宋体" w:hAnsi="宋体" w:cs="Arial"/>
          <w:kern w:val="0"/>
          <w:sz w:val="32"/>
          <w:szCs w:val="32"/>
          <w:lang w:eastAsia="zh-CN"/>
        </w:rPr>
        <w:t>（不超过本年级研究生人数的</w:t>
      </w:r>
      <w:r>
        <w:rPr>
          <w:rFonts w:hint="eastAsia" w:ascii="宋体" w:hAnsi="宋体" w:cs="Arial"/>
          <w:kern w:val="0"/>
          <w:sz w:val="32"/>
          <w:szCs w:val="32"/>
          <w:lang w:val="en-US" w:eastAsia="zh-CN"/>
        </w:rPr>
        <w:t>20%</w:t>
      </w:r>
      <w:r>
        <w:rPr>
          <w:rFonts w:hint="eastAsia" w:ascii="宋体" w:hAnsi="宋体" w:cs="Arial"/>
          <w:kern w:val="0"/>
          <w:sz w:val="32"/>
          <w:szCs w:val="32"/>
          <w:lang w:eastAsia="zh-CN"/>
        </w:rPr>
        <w:t>）</w:t>
      </w:r>
      <w:r>
        <w:rPr>
          <w:rFonts w:hint="eastAsia" w:ascii="宋体" w:hAnsi="宋体" w:cs="Arial"/>
          <w:kern w:val="0"/>
          <w:sz w:val="32"/>
          <w:szCs w:val="32"/>
          <w:lang w:val="en-US" w:eastAsia="zh-CN"/>
        </w:rPr>
        <w:t>、二等奖学金每生每年10000元（</w:t>
      </w:r>
      <w:r>
        <w:rPr>
          <w:rFonts w:hint="eastAsia" w:ascii="宋体" w:hAnsi="宋体" w:cs="Arial"/>
          <w:kern w:val="0"/>
          <w:sz w:val="32"/>
          <w:szCs w:val="32"/>
          <w:lang w:eastAsia="zh-CN"/>
        </w:rPr>
        <w:t>不超过本年级研究生人数的</w:t>
      </w:r>
      <w:r>
        <w:rPr>
          <w:rFonts w:hint="eastAsia" w:ascii="宋体" w:hAnsi="宋体" w:cs="Arial"/>
          <w:kern w:val="0"/>
          <w:sz w:val="32"/>
          <w:szCs w:val="32"/>
          <w:lang w:val="en-US" w:eastAsia="zh-CN"/>
        </w:rPr>
        <w:t>40%）。</w:t>
      </w:r>
    </w:p>
    <w:p>
      <w:pPr>
        <w:widowControl/>
        <w:numPr>
          <w:ilvl w:val="0"/>
          <w:numId w:val="0"/>
        </w:numPr>
        <w:shd w:val="clear" w:color="auto" w:fill="FFFEFF"/>
        <w:spacing w:line="300" w:lineRule="auto"/>
        <w:ind w:firstLine="640" w:firstLineChars="200"/>
        <w:jc w:val="both"/>
        <w:textAlignment w:val="top"/>
        <w:rPr>
          <w:rFonts w:hint="eastAsia" w:ascii="宋体" w:hAnsi="宋体" w:cs="Arial"/>
          <w:kern w:val="0"/>
          <w:sz w:val="32"/>
          <w:szCs w:val="32"/>
          <w:lang w:eastAsia="zh-CN"/>
        </w:rPr>
      </w:pPr>
      <w:r>
        <w:rPr>
          <w:rFonts w:hint="eastAsia" w:ascii="宋体" w:hAnsi="宋体" w:cs="Arial"/>
          <w:kern w:val="0"/>
          <w:sz w:val="32"/>
          <w:szCs w:val="32"/>
          <w:lang w:eastAsia="zh-CN"/>
        </w:rPr>
        <w:t>第六条</w:t>
      </w:r>
      <w:r>
        <w:rPr>
          <w:rFonts w:hint="eastAsia" w:ascii="宋体" w:hAnsi="宋体" w:cs="Arial"/>
          <w:kern w:val="0"/>
          <w:sz w:val="32"/>
          <w:szCs w:val="32"/>
          <w:lang w:val="en-US" w:eastAsia="zh-CN"/>
        </w:rPr>
        <w:t xml:space="preserve"> </w:t>
      </w:r>
      <w:r>
        <w:rPr>
          <w:rFonts w:hint="eastAsia" w:ascii="宋体" w:hAnsi="宋体" w:cs="Arial"/>
          <w:kern w:val="0"/>
          <w:sz w:val="32"/>
          <w:szCs w:val="32"/>
          <w:lang w:eastAsia="zh-CN"/>
        </w:rPr>
        <w:t>2021级硕士参评硕士学业助学金，作为学业奖学金的重要补充，参照2021级硕士学业奖学金评审办法，在未获评学业奖学金的学生中差额发放。一等学业助学金每生每年5000元（不超过本年级研究生人数的10%）、二等学业助学金每生每年3000元（不超过本年级研究生人数的30%）。</w:t>
      </w:r>
    </w:p>
    <w:p>
      <w:pPr>
        <w:widowControl/>
        <w:numPr>
          <w:ilvl w:val="0"/>
          <w:numId w:val="0"/>
        </w:numPr>
        <w:shd w:val="clear" w:color="auto" w:fill="FFFEFF"/>
        <w:spacing w:line="300" w:lineRule="auto"/>
        <w:ind w:firstLine="640" w:firstLineChars="200"/>
        <w:jc w:val="both"/>
        <w:textAlignment w:val="top"/>
        <w:rPr>
          <w:rFonts w:hint="eastAsia" w:ascii="宋体" w:hAnsi="宋体" w:cs="Arial"/>
          <w:kern w:val="0"/>
          <w:sz w:val="32"/>
          <w:szCs w:val="32"/>
          <w:lang w:eastAsia="zh-CN"/>
        </w:rPr>
      </w:pPr>
      <w:r>
        <w:rPr>
          <w:rFonts w:hint="eastAsia" w:ascii="宋体" w:hAnsi="宋体" w:cs="Arial"/>
          <w:kern w:val="0"/>
          <w:sz w:val="32"/>
          <w:szCs w:val="32"/>
          <w:lang w:eastAsia="zh-CN"/>
        </w:rPr>
        <w:t>2021级博士参评博士学业助学金，作为学业奖学金的重要补充，参照2021级博士学业奖学金评审办法，在未获评学业奖学金的学生中差额发放。每生每年8000元（不超过本年级研究生人数的40%）。</w:t>
      </w:r>
    </w:p>
    <w:p>
      <w:pPr>
        <w:spacing w:line="300" w:lineRule="auto"/>
        <w:ind w:firstLine="640" w:firstLineChars="200"/>
        <w:rPr>
          <w:rFonts w:hint="eastAsia" w:ascii="宋体" w:hAnsi="宋体"/>
          <w:sz w:val="32"/>
          <w:szCs w:val="32"/>
          <w:lang w:eastAsia="zh-CN"/>
        </w:rPr>
      </w:pPr>
      <w:r>
        <w:rPr>
          <w:rFonts w:hint="eastAsia" w:ascii="宋体" w:hAnsi="宋体"/>
          <w:sz w:val="32"/>
          <w:szCs w:val="32"/>
        </w:rPr>
        <w:t>第七条 21级及以后的硕士生通过硕博连读或提前毕业申请考核攻读博士研究生将不再享受硕士学业综合奖学金。</w:t>
      </w:r>
    </w:p>
    <w:p>
      <w:pPr>
        <w:spacing w:line="300" w:lineRule="auto"/>
        <w:ind w:firstLine="640" w:firstLineChars="200"/>
        <w:rPr>
          <w:rFonts w:hint="eastAsia" w:ascii="宋体" w:hAnsi="宋体"/>
          <w:sz w:val="32"/>
          <w:szCs w:val="32"/>
        </w:rPr>
      </w:pPr>
      <w:r>
        <w:rPr>
          <w:rFonts w:hint="eastAsia" w:ascii="宋体" w:hAnsi="宋体"/>
          <w:sz w:val="32"/>
          <w:szCs w:val="32"/>
        </w:rPr>
        <w:t>第</w:t>
      </w:r>
      <w:r>
        <w:rPr>
          <w:rFonts w:hint="eastAsia" w:ascii="宋体" w:hAnsi="宋体"/>
          <w:sz w:val="32"/>
          <w:szCs w:val="32"/>
          <w:lang w:eastAsia="zh-CN"/>
        </w:rPr>
        <w:t>八</w:t>
      </w:r>
      <w:r>
        <w:rPr>
          <w:rFonts w:hint="eastAsia" w:ascii="宋体" w:hAnsi="宋体"/>
          <w:sz w:val="32"/>
          <w:szCs w:val="32"/>
        </w:rPr>
        <w:t xml:space="preserve">条 </w:t>
      </w:r>
      <w:r>
        <w:rPr>
          <w:rFonts w:ascii="宋体" w:hAnsi="宋体"/>
          <w:sz w:val="32"/>
          <w:szCs w:val="32"/>
        </w:rPr>
        <w:t>本细则适用于202</w:t>
      </w:r>
      <w:r>
        <w:rPr>
          <w:rFonts w:hint="eastAsia" w:ascii="宋体" w:hAnsi="宋体"/>
          <w:sz w:val="32"/>
          <w:szCs w:val="32"/>
          <w:lang w:val="en-US" w:eastAsia="zh-CN"/>
        </w:rPr>
        <w:t>2</w:t>
      </w:r>
      <w:r>
        <w:rPr>
          <w:rFonts w:ascii="宋体" w:hAnsi="宋体"/>
          <w:sz w:val="32"/>
          <w:szCs w:val="32"/>
        </w:rPr>
        <w:t>年</w:t>
      </w:r>
      <w:r>
        <w:rPr>
          <w:rFonts w:hint="eastAsia" w:ascii="宋体" w:hAnsi="宋体"/>
          <w:sz w:val="32"/>
          <w:szCs w:val="32"/>
        </w:rPr>
        <w:t>研究生学业</w:t>
      </w:r>
      <w:r>
        <w:rPr>
          <w:rFonts w:ascii="宋体" w:hAnsi="宋体"/>
          <w:sz w:val="32"/>
          <w:szCs w:val="32"/>
        </w:rPr>
        <w:t>奖学金</w:t>
      </w:r>
      <w:r>
        <w:rPr>
          <w:rFonts w:hint="eastAsia" w:ascii="宋体" w:hAnsi="宋体"/>
          <w:sz w:val="32"/>
          <w:szCs w:val="32"/>
          <w:lang w:eastAsia="zh-CN"/>
        </w:rPr>
        <w:t>学业助学金</w:t>
      </w:r>
      <w:r>
        <w:rPr>
          <w:rFonts w:ascii="宋体" w:hAnsi="宋体"/>
          <w:sz w:val="32"/>
          <w:szCs w:val="32"/>
        </w:rPr>
        <w:t>评定</w:t>
      </w:r>
      <w:r>
        <w:rPr>
          <w:rFonts w:hint="eastAsia" w:ascii="宋体" w:hAnsi="宋体"/>
          <w:sz w:val="32"/>
          <w:szCs w:val="32"/>
        </w:rPr>
        <w:t>，由理学院研究生学业奖学金</w:t>
      </w:r>
      <w:r>
        <w:rPr>
          <w:rFonts w:hint="eastAsia" w:ascii="宋体" w:hAnsi="宋体"/>
          <w:sz w:val="32"/>
          <w:szCs w:val="32"/>
          <w:lang w:eastAsia="zh-CN"/>
        </w:rPr>
        <w:t>学业助学金</w:t>
      </w:r>
      <w:r>
        <w:rPr>
          <w:rFonts w:hint="eastAsia" w:ascii="宋体" w:hAnsi="宋体"/>
          <w:sz w:val="32"/>
          <w:szCs w:val="32"/>
        </w:rPr>
        <w:t>评审委员会负责解释</w:t>
      </w:r>
      <w:r>
        <w:rPr>
          <w:rFonts w:ascii="宋体" w:hAnsi="宋体"/>
          <w:sz w:val="32"/>
          <w:szCs w:val="32"/>
        </w:rPr>
        <w:t>。</w:t>
      </w:r>
    </w:p>
    <w:p>
      <w:pPr>
        <w:spacing w:line="300" w:lineRule="auto"/>
        <w:ind w:firstLine="4640" w:firstLineChars="1450"/>
        <w:rPr>
          <w:rFonts w:hint="eastAsia" w:ascii="宋体" w:hAnsi="宋体"/>
          <w:sz w:val="32"/>
          <w:szCs w:val="32"/>
        </w:rPr>
      </w:pPr>
    </w:p>
    <w:p>
      <w:pPr>
        <w:ind w:firstLine="5120" w:firstLineChars="1600"/>
        <w:rPr>
          <w:rFonts w:hint="eastAsia" w:ascii="宋体" w:hAnsi="宋体" w:eastAsia="宋体" w:cs="Times New Roman"/>
          <w:bCs/>
          <w:kern w:val="0"/>
          <w:sz w:val="32"/>
          <w:szCs w:val="32"/>
        </w:rPr>
      </w:pPr>
      <w:r>
        <w:rPr>
          <w:rFonts w:ascii="宋体" w:hAnsi="宋体"/>
          <w:sz w:val="32"/>
          <w:szCs w:val="32"/>
        </w:rPr>
        <w:t>20</w:t>
      </w:r>
      <w:r>
        <w:rPr>
          <w:rFonts w:hint="eastAsia" w:ascii="宋体" w:hAnsi="宋体"/>
          <w:sz w:val="32"/>
          <w:szCs w:val="32"/>
        </w:rPr>
        <w:t>2</w:t>
      </w:r>
      <w:r>
        <w:rPr>
          <w:rFonts w:hint="eastAsia" w:ascii="宋体" w:hAnsi="宋体"/>
          <w:sz w:val="32"/>
          <w:szCs w:val="32"/>
          <w:lang w:val="en-US" w:eastAsia="zh-CN"/>
        </w:rPr>
        <w:t>1</w:t>
      </w:r>
      <w:r>
        <w:rPr>
          <w:rFonts w:ascii="宋体" w:hAnsi="宋体"/>
          <w:sz w:val="32"/>
          <w:szCs w:val="32"/>
        </w:rPr>
        <w:t>年1</w:t>
      </w:r>
      <w:r>
        <w:rPr>
          <w:rFonts w:hint="eastAsia" w:ascii="宋体" w:hAnsi="宋体"/>
          <w:sz w:val="32"/>
          <w:szCs w:val="32"/>
        </w:rPr>
        <w:t>2</w:t>
      </w:r>
      <w:r>
        <w:rPr>
          <w:rFonts w:ascii="宋体" w:hAnsi="宋体"/>
          <w:sz w:val="32"/>
          <w:szCs w:val="32"/>
        </w:rPr>
        <w:t>月</w:t>
      </w:r>
      <w:r>
        <w:rPr>
          <w:rFonts w:hint="eastAsia" w:ascii="宋体" w:hAnsi="宋体"/>
          <w:sz w:val="32"/>
          <w:szCs w:val="32"/>
          <w:lang w:val="en-US" w:eastAsia="zh-CN"/>
        </w:rPr>
        <w:t>7</w:t>
      </w:r>
      <w:r>
        <w:rPr>
          <w:rFonts w:ascii="宋体" w:hAnsi="宋体"/>
          <w:sz w:val="32"/>
          <w:szCs w:val="32"/>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ascii="Cambria" w:hAnsi="Cambria"/>
        <w:sz w:val="28"/>
        <w:szCs w:val="28"/>
        <w:lang w:eastAsia="zh-CN"/>
      </w:rPr>
    </w:pP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68DCB"/>
    <w:multiLevelType w:val="singleLevel"/>
    <w:tmpl w:val="81B68DCB"/>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45A3F"/>
    <w:rsid w:val="043D2E67"/>
    <w:rsid w:val="071836A4"/>
    <w:rsid w:val="081538B4"/>
    <w:rsid w:val="0A2C3D9A"/>
    <w:rsid w:val="12211934"/>
    <w:rsid w:val="17B943BD"/>
    <w:rsid w:val="185C77E5"/>
    <w:rsid w:val="195E6FCA"/>
    <w:rsid w:val="217D46AD"/>
    <w:rsid w:val="218A3047"/>
    <w:rsid w:val="26964247"/>
    <w:rsid w:val="2D7E77E3"/>
    <w:rsid w:val="35B80718"/>
    <w:rsid w:val="36F32FEF"/>
    <w:rsid w:val="41217879"/>
    <w:rsid w:val="416F5968"/>
    <w:rsid w:val="438D7710"/>
    <w:rsid w:val="44461DC7"/>
    <w:rsid w:val="44FE14DD"/>
    <w:rsid w:val="5137016C"/>
    <w:rsid w:val="55757355"/>
    <w:rsid w:val="64305579"/>
    <w:rsid w:val="6B845A3F"/>
    <w:rsid w:val="76B96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2021-12-10T04:29:00Z</dcterms:created>
  <dc:creator>左欣鑫</dc:creator>
  <cp:lastModifiedBy>左欣鑫</cp:lastModifiedBy>
  <dcterms:modified xsi:type="dcterms:W3CDTF">2021-12-21T03:35:16Z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1234057AED5A42558B94E1A6FC77A322</vt:lpwstr>
  </property>
</Properties>
</file>